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2057BD" w:rsidRDefault="002057BD" w:rsidP="004810BE">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Муниципальное казенное учреждение</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администрация Нововасюганского сельского поселения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Каргасокского района Томской области</w:t>
      </w:r>
    </w:p>
    <w:p w:rsidR="00A92CA5" w:rsidRDefault="00A92CA5" w:rsidP="002057BD">
      <w:pPr>
        <w:spacing w:after="0" w:line="240" w:lineRule="auto"/>
        <w:jc w:val="center"/>
        <w:rPr>
          <w:rFonts w:ascii="Times New Roman" w:hAnsi="Times New Roman" w:cs="Times New Roman"/>
          <w:sz w:val="24"/>
          <w:szCs w:val="24"/>
        </w:rPr>
      </w:pPr>
    </w:p>
    <w:p w:rsidR="00D539C7" w:rsidRDefault="00D539C7" w:rsidP="002057BD">
      <w:pPr>
        <w:spacing w:after="0" w:line="240" w:lineRule="auto"/>
        <w:rPr>
          <w:rFonts w:ascii="Times New Roman" w:hAnsi="Times New Roman" w:cs="Times New Roman"/>
          <w:b/>
          <w:sz w:val="24"/>
          <w:szCs w:val="24"/>
        </w:rPr>
      </w:pPr>
    </w:p>
    <w:p w:rsidR="00603593" w:rsidRPr="002057BD" w:rsidRDefault="00603593"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750A00" w:rsidRPr="002057BD" w:rsidRDefault="00603593"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21.06</w:t>
      </w:r>
      <w:r w:rsidR="007B7159">
        <w:rPr>
          <w:rFonts w:ascii="Times New Roman" w:hAnsi="Times New Roman" w:cs="Times New Roman"/>
          <w:sz w:val="24"/>
          <w:szCs w:val="24"/>
        </w:rPr>
        <w:t>.2019</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D66882">
        <w:rPr>
          <w:rFonts w:ascii="Times New Roman" w:hAnsi="Times New Roman" w:cs="Times New Roman"/>
          <w:sz w:val="24"/>
          <w:szCs w:val="24"/>
        </w:rPr>
        <w:t xml:space="preserve">    </w:t>
      </w:r>
      <w:r>
        <w:rPr>
          <w:rFonts w:ascii="Times New Roman" w:hAnsi="Times New Roman" w:cs="Times New Roman"/>
          <w:sz w:val="24"/>
          <w:szCs w:val="24"/>
        </w:rPr>
        <w:t xml:space="preserve">      </w:t>
      </w:r>
      <w:r w:rsidR="00750A00" w:rsidRPr="002057BD">
        <w:rPr>
          <w:rFonts w:ascii="Times New Roman" w:hAnsi="Times New Roman" w:cs="Times New Roman"/>
          <w:sz w:val="24"/>
          <w:szCs w:val="24"/>
        </w:rPr>
        <w:t xml:space="preserve">№ </w:t>
      </w:r>
      <w:r>
        <w:rPr>
          <w:rFonts w:ascii="Times New Roman" w:hAnsi="Times New Roman" w:cs="Times New Roman"/>
          <w:sz w:val="24"/>
          <w:szCs w:val="24"/>
        </w:rPr>
        <w:t>48</w:t>
      </w:r>
    </w:p>
    <w:p w:rsidR="00750A00" w:rsidRPr="002057BD" w:rsidRDefault="00750A00"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2057BD" w:rsidRDefault="00750A00" w:rsidP="00750A00">
      <w:pPr>
        <w:spacing w:after="0" w:line="240" w:lineRule="auto"/>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750A00" w:rsidRPr="00750A00" w:rsidTr="00A92CA5">
        <w:trPr>
          <w:trHeight w:val="1276"/>
        </w:trPr>
        <w:tc>
          <w:tcPr>
            <w:tcW w:w="5353" w:type="dxa"/>
            <w:tcBorders>
              <w:top w:val="nil"/>
              <w:left w:val="nil"/>
              <w:bottom w:val="nil"/>
              <w:right w:val="nil"/>
            </w:tcBorders>
            <w:hideMark/>
          </w:tcPr>
          <w:p w:rsidR="00750A00" w:rsidRPr="00750A00" w:rsidRDefault="00750A00" w:rsidP="00A92CA5">
            <w:pPr>
              <w:spacing w:after="0" w:line="240" w:lineRule="auto"/>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от 18.01.2017 № 6 «Об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750A00" w:rsidRPr="00750A00" w:rsidRDefault="00750A00" w:rsidP="00750A00">
      <w:pPr>
        <w:spacing w:after="0"/>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spacing w:after="0"/>
        <w:ind w:firstLine="708"/>
        <w:jc w:val="both"/>
        <w:rPr>
          <w:rFonts w:ascii="Times New Roman" w:hAnsi="Times New Roman" w:cs="Times New Roman"/>
          <w:sz w:val="24"/>
          <w:szCs w:val="24"/>
          <w:shd w:val="clear" w:color="auto" w:fill="FFFFFF"/>
        </w:rPr>
      </w:pPr>
    </w:p>
    <w:p w:rsidR="00750A00" w:rsidRPr="00750A00" w:rsidRDefault="00750A00"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самоуправления в Российской Федерации», 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ПОСТАНОВЛЯЮ:</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672886">
        <w:rPr>
          <w:rFonts w:ascii="Times New Roman" w:hAnsi="Times New Roman" w:cs="Times New Roman"/>
          <w:sz w:val="24"/>
          <w:szCs w:val="24"/>
        </w:rPr>
        <w:t xml:space="preserve"> Постановление МКУ администрация</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 xml:space="preserve">Об утверждении Муниципальной Программы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 разделе «1. Паспорт Программы» в подразделе «Объемы требуемых капитальных вложений» изложить в следующей редакции:</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на 2019 год составляет 474,3 тыс. руб., в т.ч. по видам коммунальных услуг: </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Теплоснабжение – 343,9 тыс. руб.</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Водоснабжение – 130,4 тыс. руб.</w:t>
      </w:r>
    </w:p>
    <w:p w:rsidR="002721B0" w:rsidRDefault="002721B0" w:rsidP="0027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финансирования: бюджет муниципального образования Нововасюганское сельское поселение, средства МУП «ЖКХ Нововасюганское»»;</w:t>
      </w:r>
    </w:p>
    <w:p w:rsidR="00484D86" w:rsidRDefault="00484D86" w:rsidP="002721B0">
      <w:pPr>
        <w:spacing w:after="0" w:line="240" w:lineRule="auto"/>
        <w:jc w:val="both"/>
        <w:rPr>
          <w:rFonts w:ascii="Times New Roman" w:hAnsi="Times New Roman" w:cs="Times New Roman"/>
          <w:sz w:val="24"/>
          <w:szCs w:val="24"/>
        </w:rPr>
      </w:pPr>
    </w:p>
    <w:p w:rsidR="00FA5C90" w:rsidRDefault="00FA5C90" w:rsidP="00FA5C9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В разделе «4.6. </w:t>
      </w:r>
      <w:r w:rsidR="00484D86">
        <w:rPr>
          <w:rFonts w:ascii="Times New Roman" w:hAnsi="Times New Roman" w:cs="Times New Roman"/>
          <w:sz w:val="24"/>
          <w:szCs w:val="24"/>
        </w:rPr>
        <w:t>Энергосбережение коммунальной системы муниципального образования</w:t>
      </w:r>
      <w:r>
        <w:rPr>
          <w:rFonts w:ascii="Times New Roman" w:hAnsi="Times New Roman" w:cs="Times New Roman"/>
          <w:sz w:val="24"/>
          <w:szCs w:val="24"/>
        </w:rPr>
        <w:t>» таблицу</w:t>
      </w:r>
      <w:r w:rsidR="00484D86">
        <w:rPr>
          <w:rFonts w:ascii="Times New Roman" w:hAnsi="Times New Roman" w:cs="Times New Roman"/>
          <w:sz w:val="24"/>
          <w:szCs w:val="24"/>
        </w:rPr>
        <w:t xml:space="preserve"> 16</w:t>
      </w:r>
      <w:r>
        <w:rPr>
          <w:rFonts w:ascii="Times New Roman" w:hAnsi="Times New Roman" w:cs="Times New Roman"/>
          <w:sz w:val="24"/>
          <w:szCs w:val="24"/>
        </w:rPr>
        <w:t xml:space="preserve"> изложить в следующей редакции</w:t>
      </w:r>
      <w:r w:rsidR="00484D86">
        <w:rPr>
          <w:rFonts w:ascii="Times New Roman" w:hAnsi="Times New Roman" w:cs="Times New Roman"/>
          <w:sz w:val="24"/>
          <w:szCs w:val="24"/>
        </w:rPr>
        <w:t>:</w:t>
      </w:r>
    </w:p>
    <w:p w:rsidR="00484D86" w:rsidRDefault="00484D86" w:rsidP="00FA5C90">
      <w:pPr>
        <w:spacing w:after="0" w:line="240" w:lineRule="auto"/>
        <w:ind w:firstLine="284"/>
        <w:jc w:val="both"/>
        <w:rPr>
          <w:rFonts w:ascii="Times New Roman" w:hAnsi="Times New Roman" w:cs="Times New Roman"/>
          <w:sz w:val="24"/>
          <w:szCs w:val="24"/>
        </w:rPr>
      </w:pPr>
    </w:p>
    <w:p w:rsidR="00AD7882" w:rsidRDefault="00AD7882" w:rsidP="00FA5C90">
      <w:pPr>
        <w:spacing w:after="0" w:line="240" w:lineRule="auto"/>
        <w:ind w:firstLine="284"/>
        <w:jc w:val="both"/>
        <w:rPr>
          <w:rFonts w:ascii="Times New Roman" w:hAnsi="Times New Roman" w:cs="Times New Roman"/>
          <w:sz w:val="24"/>
          <w:szCs w:val="24"/>
        </w:rPr>
        <w:sectPr w:rsidR="00AD7882" w:rsidSect="000B7AE0">
          <w:pgSz w:w="11900" w:h="16840"/>
          <w:pgMar w:top="851" w:right="851" w:bottom="851" w:left="1247" w:header="0" w:footer="6" w:gutter="0"/>
          <w:cols w:space="720"/>
          <w:noEndnote/>
          <w:docGrid w:linePitch="360"/>
        </w:sectPr>
      </w:pPr>
    </w:p>
    <w:p w:rsidR="00AD7882" w:rsidRDefault="00AD7882" w:rsidP="00AD7882">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AD7882" w:rsidRDefault="00AD7882" w:rsidP="00AD7882">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AD7882" w:rsidRDefault="00AD7882" w:rsidP="00AD7882">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AD7882" w:rsidRPr="00DD2553" w:rsidTr="00CA4428">
        <w:tc>
          <w:tcPr>
            <w:tcW w:w="1276" w:type="dxa"/>
            <w:vMerge w:val="restart"/>
            <w:vAlign w:val="center"/>
          </w:tcPr>
          <w:p w:rsidR="00AD7882" w:rsidRPr="00DD2553" w:rsidRDefault="00AD7882"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Ожид</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аемы</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й</w:t>
            </w:r>
          </w:p>
          <w:p w:rsidR="00AD7882" w:rsidRPr="00DD2553" w:rsidRDefault="00AD7882"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AD7882" w:rsidRPr="00DD2553" w:rsidRDefault="00AD7882"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AD7882" w:rsidRPr="00DD2553" w:rsidRDefault="00AD7882" w:rsidP="00CA442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AD7882" w:rsidRPr="00DD2553" w:rsidTr="00CA4428">
        <w:tc>
          <w:tcPr>
            <w:tcW w:w="1276"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567"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851" w:type="dxa"/>
            <w:vMerge w:val="restart"/>
          </w:tcPr>
          <w:p w:rsidR="00AD7882"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ий</w:t>
            </w:r>
          </w:p>
          <w:p w:rsidR="00AD7882" w:rsidRPr="00DD2553" w:rsidRDefault="00AD7882"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AD7882" w:rsidRPr="00DD2553" w:rsidRDefault="00AD7882" w:rsidP="00CA442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тыс.м3,</w:t>
            </w:r>
          </w:p>
          <w:p w:rsidR="00AD7882" w:rsidRPr="00DD2553" w:rsidRDefault="00AD7882" w:rsidP="00CA442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AD7882" w:rsidRPr="00DD2553" w:rsidRDefault="00AD7882" w:rsidP="00CA4428">
            <w:pPr>
              <w:pStyle w:val="42"/>
              <w:keepNext/>
              <w:keepLines/>
              <w:shd w:val="clear" w:color="auto" w:fill="auto"/>
              <w:spacing w:before="0" w:after="0" w:line="240" w:lineRule="auto"/>
              <w:jc w:val="center"/>
              <w:rPr>
                <w:b w:val="0"/>
                <w:sz w:val="16"/>
                <w:szCs w:val="16"/>
              </w:rPr>
            </w:pPr>
          </w:p>
        </w:tc>
        <w:tc>
          <w:tcPr>
            <w:tcW w:w="709" w:type="dxa"/>
            <w:vMerge w:val="restart"/>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AD7882" w:rsidRPr="00DD2553" w:rsidRDefault="00AD7882" w:rsidP="00CA4428">
            <w:pPr>
              <w:pStyle w:val="42"/>
              <w:keepNext/>
              <w:keepLines/>
              <w:shd w:val="clear" w:color="auto" w:fill="auto"/>
              <w:spacing w:before="0" w:after="0" w:line="240" w:lineRule="auto"/>
              <w:jc w:val="center"/>
              <w:rPr>
                <w:sz w:val="16"/>
                <w:szCs w:val="16"/>
              </w:rPr>
            </w:pPr>
          </w:p>
        </w:tc>
        <w:tc>
          <w:tcPr>
            <w:tcW w:w="3402" w:type="dxa"/>
            <w:gridSpan w:val="5"/>
            <w:vAlign w:val="center"/>
          </w:tcPr>
          <w:p w:rsidR="00AD7882" w:rsidRPr="00DD2553" w:rsidRDefault="00AD7882"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AD7882" w:rsidRPr="00DD2553" w:rsidRDefault="00AD7882" w:rsidP="00CA4428">
            <w:pPr>
              <w:pStyle w:val="42"/>
              <w:keepNext/>
              <w:keepLines/>
              <w:shd w:val="clear" w:color="auto" w:fill="auto"/>
              <w:spacing w:before="0" w:after="0" w:line="240" w:lineRule="auto"/>
              <w:jc w:val="center"/>
              <w:rPr>
                <w:sz w:val="16"/>
                <w:szCs w:val="16"/>
              </w:rPr>
            </w:pPr>
          </w:p>
        </w:tc>
        <w:tc>
          <w:tcPr>
            <w:tcW w:w="3261" w:type="dxa"/>
            <w:gridSpan w:val="5"/>
            <w:vAlign w:val="center"/>
          </w:tcPr>
          <w:p w:rsidR="00AD7882" w:rsidRPr="00DD2553" w:rsidRDefault="00AD7882"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AD7882" w:rsidRPr="00DD2553" w:rsidRDefault="00AD7882" w:rsidP="00CA4428">
            <w:pPr>
              <w:pStyle w:val="42"/>
              <w:keepNext/>
              <w:keepLines/>
              <w:shd w:val="clear" w:color="auto" w:fill="auto"/>
              <w:spacing w:before="0" w:after="0" w:line="240" w:lineRule="auto"/>
              <w:jc w:val="center"/>
              <w:rPr>
                <w:sz w:val="16"/>
                <w:szCs w:val="16"/>
              </w:rPr>
            </w:pPr>
          </w:p>
        </w:tc>
        <w:tc>
          <w:tcPr>
            <w:tcW w:w="3119" w:type="dxa"/>
            <w:gridSpan w:val="5"/>
            <w:vAlign w:val="center"/>
          </w:tcPr>
          <w:p w:rsidR="00AD7882" w:rsidRPr="00DD2553" w:rsidRDefault="00AD7882"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AD7882" w:rsidRPr="00DD2553" w:rsidTr="00CA4428">
        <w:trPr>
          <w:cantSplit/>
          <w:trHeight w:val="1134"/>
        </w:trPr>
        <w:tc>
          <w:tcPr>
            <w:tcW w:w="1276"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567"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851"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850"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709"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850" w:type="dxa"/>
          </w:tcPr>
          <w:p w:rsidR="00AD7882" w:rsidRPr="00DD2553" w:rsidRDefault="00AD7882"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AD7882" w:rsidRPr="00DD2553" w:rsidRDefault="00AD7882" w:rsidP="00CA442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AD7882" w:rsidRPr="00DD2553" w:rsidRDefault="00AD7882" w:rsidP="00CA442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AD7882" w:rsidRPr="00DD2553" w:rsidRDefault="00AD7882" w:rsidP="00CA442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851" w:type="dxa"/>
          </w:tcPr>
          <w:p w:rsidR="00AD7882" w:rsidRPr="00DD2553" w:rsidRDefault="00AD7882"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AD7882" w:rsidRPr="00DD2553" w:rsidRDefault="00AD7882" w:rsidP="00CA442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AD7882" w:rsidRPr="00DD2553" w:rsidRDefault="00AD7882" w:rsidP="00CA4428">
            <w:pPr>
              <w:pStyle w:val="42"/>
              <w:keepNext/>
              <w:keepLines/>
              <w:shd w:val="clear" w:color="auto" w:fill="auto"/>
              <w:spacing w:before="0" w:after="0" w:line="240" w:lineRule="auto"/>
              <w:jc w:val="right"/>
              <w:rPr>
                <w:sz w:val="16"/>
                <w:szCs w:val="16"/>
              </w:rPr>
            </w:pPr>
          </w:p>
        </w:tc>
        <w:tc>
          <w:tcPr>
            <w:tcW w:w="709" w:type="dxa"/>
          </w:tcPr>
          <w:p w:rsidR="00AD7882" w:rsidRPr="00DD2553" w:rsidRDefault="00AD7882"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AD7882" w:rsidRPr="00DD2553" w:rsidRDefault="00AD7882"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AD7882" w:rsidRPr="00DD2553" w:rsidRDefault="00AD7882"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AD7882" w:rsidRPr="00DD2553" w:rsidRDefault="00AD7882" w:rsidP="00CA442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AD7882" w:rsidRPr="00DD2553" w:rsidRDefault="00AD7882" w:rsidP="00CA442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9C60DB" w:rsidTr="006335E5">
        <w:tc>
          <w:tcPr>
            <w:tcW w:w="1276" w:type="dxa"/>
          </w:tcPr>
          <w:p w:rsidR="009C60DB" w:rsidRPr="00DD2553" w:rsidRDefault="009C60DB" w:rsidP="00CA442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vAlign w:val="center"/>
          </w:tcPr>
          <w:p w:rsidR="009C60DB" w:rsidRPr="001619C2" w:rsidRDefault="009C60DB" w:rsidP="00CA4428">
            <w:pPr>
              <w:pStyle w:val="42"/>
              <w:keepNext/>
              <w:keepLines/>
              <w:shd w:val="clear" w:color="auto" w:fill="auto"/>
              <w:spacing w:before="0" w:after="0" w:line="240" w:lineRule="auto"/>
              <w:jc w:val="center"/>
              <w:rPr>
                <w:sz w:val="16"/>
                <w:szCs w:val="16"/>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vAlign w:val="center"/>
          </w:tcPr>
          <w:p w:rsidR="009C60DB" w:rsidRPr="009C60DB" w:rsidRDefault="009C60DB" w:rsidP="00CA442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5"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vAlign w:val="center"/>
          </w:tcPr>
          <w:p w:rsidR="009C60DB" w:rsidRPr="001619C2" w:rsidRDefault="009C60DB" w:rsidP="00CA4428">
            <w:pPr>
              <w:pStyle w:val="42"/>
              <w:keepNext/>
              <w:keepLines/>
              <w:shd w:val="clear" w:color="auto" w:fill="auto"/>
              <w:spacing w:before="0" w:after="0" w:line="240" w:lineRule="auto"/>
              <w:rPr>
                <w:sz w:val="16"/>
                <w:szCs w:val="16"/>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vAlign w:val="center"/>
          </w:tcPr>
          <w:p w:rsidR="009C60DB" w:rsidRPr="00B04ECB" w:rsidRDefault="009C60DB" w:rsidP="00CA4428">
            <w:pPr>
              <w:pStyle w:val="42"/>
              <w:keepNext/>
              <w:keepLines/>
              <w:shd w:val="clear" w:color="auto" w:fill="auto"/>
              <w:spacing w:before="0" w:after="0" w:line="240" w:lineRule="auto"/>
              <w:jc w:val="center"/>
              <w:rPr>
                <w:sz w:val="16"/>
                <w:szCs w:val="16"/>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c>
          <w:tcPr>
            <w:tcW w:w="1276" w:type="dxa"/>
          </w:tcPr>
          <w:p w:rsidR="009C60DB" w:rsidRPr="008C60B2" w:rsidRDefault="009C60DB" w:rsidP="00CA442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vAlign w:val="center"/>
          </w:tcPr>
          <w:p w:rsidR="009C60DB" w:rsidRPr="000A4778" w:rsidRDefault="009C60DB" w:rsidP="00CA4428">
            <w:pPr>
              <w:pStyle w:val="42"/>
              <w:keepNext/>
              <w:keepLines/>
              <w:shd w:val="clear" w:color="auto" w:fill="auto"/>
              <w:spacing w:before="0" w:after="0" w:line="240" w:lineRule="auto"/>
              <w:jc w:val="center"/>
              <w:rPr>
                <w:b w:val="0"/>
                <w:sz w:val="16"/>
                <w:szCs w:val="16"/>
                <w:lang w:val="en-US"/>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5"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p w:rsidR="009C60DB" w:rsidRDefault="009C60DB" w:rsidP="00CA4428"/>
          <w:p w:rsidR="009C60DB" w:rsidRDefault="009C60DB" w:rsidP="00CA4428"/>
          <w:p w:rsidR="009C60DB" w:rsidRPr="000A4778" w:rsidRDefault="009C60DB" w:rsidP="00CA4428">
            <w:pPr>
              <w:rPr>
                <w:lang w:val="en-US"/>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p w:rsidR="009C60DB" w:rsidRDefault="009C60DB" w:rsidP="00CA4428"/>
          <w:p w:rsidR="009C60DB" w:rsidRDefault="009C60DB" w:rsidP="00CA4428"/>
          <w:p w:rsidR="009C60DB" w:rsidRPr="001619C2" w:rsidRDefault="009C60DB" w:rsidP="00CA4428">
            <w:pPr>
              <w:jc w:val="center"/>
              <w:rPr>
                <w:rFonts w:ascii="Times New Roman" w:hAnsi="Times New Roman" w:cs="Times New Roman"/>
                <w:sz w:val="16"/>
                <w:szCs w:val="16"/>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p w:rsidR="009C60DB" w:rsidRDefault="009C60DB" w:rsidP="00CA4428"/>
          <w:p w:rsidR="009C60DB" w:rsidRDefault="009C60DB" w:rsidP="00CA4428"/>
          <w:p w:rsidR="009C60DB" w:rsidRPr="000A4778" w:rsidRDefault="009C60DB" w:rsidP="00CA4428">
            <w:pPr>
              <w:jc w:val="center"/>
              <w:rPr>
                <w:rFonts w:ascii="Times New Roman" w:hAnsi="Times New Roman" w:cs="Times New Roman"/>
                <w:sz w:val="16"/>
                <w:szCs w:val="16"/>
                <w:lang w:val="en-US"/>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9C60DB">
        <w:tc>
          <w:tcPr>
            <w:tcW w:w="1276" w:type="dxa"/>
          </w:tcPr>
          <w:p w:rsidR="009C60DB" w:rsidRPr="00AD7882" w:rsidRDefault="009C60DB" w:rsidP="00CA442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vAlign w:val="center"/>
          </w:tcPr>
          <w:p w:rsidR="009C60DB" w:rsidRPr="00AD7882" w:rsidRDefault="009C60DB" w:rsidP="00CA4428">
            <w:pPr>
              <w:pStyle w:val="42"/>
              <w:keepNext/>
              <w:keepLines/>
              <w:shd w:val="clear" w:color="auto" w:fill="auto"/>
              <w:spacing w:before="0" w:after="0" w:line="240" w:lineRule="auto"/>
              <w:jc w:val="center"/>
              <w:rPr>
                <w:b w:val="0"/>
                <w:sz w:val="16"/>
                <w:szCs w:val="16"/>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vAlign w:val="center"/>
          </w:tcPr>
          <w:p w:rsidR="009C60DB" w:rsidRPr="009C60DB" w:rsidRDefault="009C60DB" w:rsidP="009C60DB">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5"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c>
          <w:tcPr>
            <w:tcW w:w="1276" w:type="dxa"/>
          </w:tcPr>
          <w:p w:rsidR="009C60DB" w:rsidRPr="00DD2553" w:rsidRDefault="009C60DB" w:rsidP="00CA442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vAlign w:val="center"/>
          </w:tcPr>
          <w:p w:rsidR="009C60DB" w:rsidRDefault="009C60DB" w:rsidP="00CA4428">
            <w:pPr>
              <w:pStyle w:val="42"/>
              <w:keepNext/>
              <w:keepLines/>
              <w:shd w:val="clear" w:color="auto" w:fill="auto"/>
              <w:spacing w:before="0" w:after="0" w:line="240" w:lineRule="auto"/>
              <w:jc w:val="center"/>
              <w:rPr>
                <w:sz w:val="24"/>
                <w:szCs w:val="24"/>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E714BC" w:rsidP="00CA442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425"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8"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426"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8"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rPr>
          <w:trHeight w:val="480"/>
        </w:trPr>
        <w:tc>
          <w:tcPr>
            <w:tcW w:w="1276" w:type="dxa"/>
            <w:tcBorders>
              <w:bottom w:val="single" w:sz="4" w:space="0" w:color="auto"/>
            </w:tcBorders>
          </w:tcPr>
          <w:p w:rsidR="009C60DB" w:rsidRPr="00E964E5" w:rsidRDefault="009C60DB" w:rsidP="00E714BC">
            <w:pPr>
              <w:pStyle w:val="42"/>
              <w:keepNext/>
              <w:keepLines/>
              <w:spacing w:before="0" w:after="0" w:line="240" w:lineRule="auto"/>
              <w:jc w:val="left"/>
              <w:rPr>
                <w:b w:val="0"/>
                <w:sz w:val="16"/>
                <w:szCs w:val="16"/>
              </w:rPr>
            </w:pPr>
            <w:r>
              <w:rPr>
                <w:b w:val="0"/>
                <w:sz w:val="16"/>
                <w:szCs w:val="16"/>
              </w:rPr>
              <w:t xml:space="preserve">Приобретение </w:t>
            </w:r>
            <w:r w:rsidR="00E714BC">
              <w:rPr>
                <w:b w:val="0"/>
                <w:sz w:val="16"/>
                <w:szCs w:val="16"/>
              </w:rPr>
              <w:t xml:space="preserve">жаровых труб </w:t>
            </w:r>
            <w:r w:rsidR="00E714BC">
              <w:rPr>
                <w:b w:val="0"/>
                <w:sz w:val="16"/>
                <w:szCs w:val="16"/>
                <w:lang w:val="en-US"/>
              </w:rPr>
              <w:t>d</w:t>
            </w:r>
            <w:r w:rsidR="00E714BC">
              <w:rPr>
                <w:b w:val="0"/>
                <w:sz w:val="16"/>
                <w:szCs w:val="16"/>
              </w:rPr>
              <w:t xml:space="preserve">=57мм в количестве 40 шт., </w:t>
            </w:r>
            <w:r>
              <w:rPr>
                <w:b w:val="0"/>
                <w:sz w:val="16"/>
                <w:szCs w:val="16"/>
              </w:rPr>
              <w:t>для котла КСВ 2.0</w:t>
            </w:r>
            <w:r w:rsidR="00E714BC">
              <w:rPr>
                <w:b w:val="0"/>
                <w:sz w:val="16"/>
                <w:szCs w:val="16"/>
              </w:rPr>
              <w:t xml:space="preserve"> в котельной № 4</w:t>
            </w:r>
          </w:p>
        </w:tc>
        <w:tc>
          <w:tcPr>
            <w:tcW w:w="567" w:type="dxa"/>
            <w:tcBorders>
              <w:bottom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9C60DB" w:rsidRPr="00DD2553" w:rsidRDefault="00E714BC" w:rsidP="00CA442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rPr>
          <w:trHeight w:val="630"/>
        </w:trPr>
        <w:tc>
          <w:tcPr>
            <w:tcW w:w="1276" w:type="dxa"/>
            <w:tcBorders>
              <w:top w:val="single" w:sz="4" w:space="0" w:color="auto"/>
            </w:tcBorders>
          </w:tcPr>
          <w:p w:rsidR="009C60DB" w:rsidRDefault="009C60DB" w:rsidP="00CA442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9C60DB" w:rsidRDefault="009C60DB" w:rsidP="00CA442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9C60DB" w:rsidRPr="00DD2553" w:rsidRDefault="00E714BC" w:rsidP="00CA442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c>
          <w:tcPr>
            <w:tcW w:w="1276" w:type="dxa"/>
          </w:tcPr>
          <w:p w:rsidR="009C60DB" w:rsidRPr="00DD2553" w:rsidRDefault="009C60DB" w:rsidP="00CA442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E714BC" w:rsidP="00CA442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425"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8"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426"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708" w:type="dxa"/>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c>
          <w:tcPr>
            <w:tcW w:w="1276" w:type="dxa"/>
          </w:tcPr>
          <w:p w:rsidR="009C60DB" w:rsidRPr="00DD2553" w:rsidRDefault="00E714BC" w:rsidP="00CA442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009C60DB" w:rsidRPr="00DD2553">
              <w:rPr>
                <w:rStyle w:val="28pt"/>
                <w:rFonts w:eastAsiaTheme="minorEastAsia"/>
                <w:b w:val="0"/>
              </w:rPr>
              <w:t>котельной № 4</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E714BC" w:rsidP="00CA442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5"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CA4428">
        <w:tc>
          <w:tcPr>
            <w:tcW w:w="1276" w:type="dxa"/>
          </w:tcPr>
          <w:p w:rsidR="009C60DB" w:rsidRPr="00DD2553" w:rsidRDefault="009C60DB" w:rsidP="00CA442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567"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425"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0"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851"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9" w:type="dxa"/>
            <w:vAlign w:val="center"/>
          </w:tcPr>
          <w:p w:rsidR="009C60DB" w:rsidRPr="00DD2553" w:rsidRDefault="009C60DB" w:rsidP="00CA4428">
            <w:pPr>
              <w:pStyle w:val="42"/>
              <w:keepNext/>
              <w:keepLines/>
              <w:shd w:val="clear" w:color="auto" w:fill="auto"/>
              <w:spacing w:before="0" w:after="0" w:line="240" w:lineRule="auto"/>
              <w:jc w:val="center"/>
              <w:rPr>
                <w:b w:val="0"/>
                <w:sz w:val="16"/>
                <w:szCs w:val="16"/>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Pr>
          <w:p w:rsidR="009C60DB" w:rsidRDefault="009C60DB" w:rsidP="00CA4428">
            <w:pPr>
              <w:pStyle w:val="42"/>
              <w:keepNext/>
              <w:keepLines/>
              <w:shd w:val="clear" w:color="auto" w:fill="auto"/>
              <w:spacing w:before="0" w:after="0" w:line="240" w:lineRule="auto"/>
              <w:jc w:val="right"/>
              <w:rPr>
                <w:sz w:val="24"/>
                <w:szCs w:val="24"/>
              </w:rPr>
            </w:pPr>
          </w:p>
        </w:tc>
      </w:tr>
      <w:tr w:rsidR="009C60DB" w:rsidTr="00E714BC">
        <w:trPr>
          <w:trHeight w:val="2512"/>
        </w:trPr>
        <w:tc>
          <w:tcPr>
            <w:tcW w:w="1276" w:type="dxa"/>
            <w:tcBorders>
              <w:top w:val="single" w:sz="4" w:space="0" w:color="auto"/>
            </w:tcBorders>
            <w:vAlign w:val="center"/>
          </w:tcPr>
          <w:p w:rsidR="009C60DB" w:rsidRDefault="009C60DB" w:rsidP="00CA4428">
            <w:pPr>
              <w:pStyle w:val="42"/>
              <w:keepNext/>
              <w:keepLines/>
              <w:spacing w:before="0" w:after="0" w:line="240" w:lineRule="auto"/>
              <w:jc w:val="left"/>
              <w:rPr>
                <w:sz w:val="16"/>
                <w:szCs w:val="16"/>
              </w:rPr>
            </w:pPr>
            <w:r w:rsidRPr="00DD2553">
              <w:rPr>
                <w:sz w:val="16"/>
                <w:szCs w:val="16"/>
              </w:rPr>
              <w:lastRenderedPageBreak/>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jc w:val="center"/>
              <w:rPr>
                <w:sz w:val="16"/>
                <w:szCs w:val="16"/>
              </w:rPr>
            </w:pPr>
          </w:p>
        </w:tc>
        <w:tc>
          <w:tcPr>
            <w:tcW w:w="851" w:type="dxa"/>
            <w:tcBorders>
              <w:top w:val="single" w:sz="4" w:space="0" w:color="auto"/>
            </w:tcBorders>
            <w:vAlign w:val="center"/>
          </w:tcPr>
          <w:p w:rsidR="009C60DB" w:rsidRPr="00DD2553" w:rsidRDefault="009C60DB" w:rsidP="00CA4428">
            <w:pPr>
              <w:pStyle w:val="42"/>
              <w:keepNext/>
              <w:keepLines/>
              <w:shd w:val="clear" w:color="auto" w:fill="auto"/>
              <w:spacing w:before="0" w:after="0" w:line="240" w:lineRule="auto"/>
              <w:rPr>
                <w:sz w:val="16"/>
                <w:szCs w:val="16"/>
              </w:rPr>
            </w:pPr>
          </w:p>
        </w:tc>
        <w:tc>
          <w:tcPr>
            <w:tcW w:w="709" w:type="dxa"/>
            <w:tcBorders>
              <w:top w:val="single" w:sz="4" w:space="0" w:color="auto"/>
            </w:tcBorders>
          </w:tcPr>
          <w:p w:rsidR="009C60DB" w:rsidRDefault="009C60DB" w:rsidP="00CA4428">
            <w:pPr>
              <w:pStyle w:val="42"/>
              <w:keepNext/>
              <w:keepLines/>
              <w:shd w:val="clear" w:color="auto" w:fill="auto"/>
              <w:spacing w:before="0" w:after="0" w:line="240" w:lineRule="auto"/>
              <w:jc w:val="center"/>
              <w:rPr>
                <w:sz w:val="24"/>
                <w:szCs w:val="24"/>
              </w:rPr>
            </w:pP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425"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9C60DB" w:rsidRDefault="009C60DB" w:rsidP="00CA4428">
            <w:pPr>
              <w:pStyle w:val="42"/>
              <w:keepNext/>
              <w:keepLines/>
              <w:shd w:val="clear" w:color="auto" w:fill="auto"/>
              <w:spacing w:before="0" w:after="0" w:line="240" w:lineRule="auto"/>
              <w:jc w:val="right"/>
              <w:rPr>
                <w:sz w:val="24"/>
                <w:szCs w:val="24"/>
              </w:rPr>
            </w:pPr>
          </w:p>
        </w:tc>
      </w:tr>
    </w:tbl>
    <w:p w:rsidR="00AD7882" w:rsidRDefault="00AD7882" w:rsidP="00AD7882">
      <w:pPr>
        <w:spacing w:after="0" w:line="240" w:lineRule="auto"/>
        <w:jc w:val="both"/>
        <w:rPr>
          <w:rFonts w:ascii="Times New Roman" w:hAnsi="Times New Roman" w:cs="Times New Roman"/>
          <w:sz w:val="24"/>
          <w:szCs w:val="24"/>
        </w:rPr>
        <w:sectPr w:rsidR="00AD7882" w:rsidSect="00484D86">
          <w:pgSz w:w="16840" w:h="11900" w:orient="landscape"/>
          <w:pgMar w:top="851" w:right="851" w:bottom="1247" w:left="851" w:header="0" w:footer="6" w:gutter="0"/>
          <w:cols w:space="720"/>
          <w:noEndnote/>
          <w:docGrid w:linePitch="360"/>
        </w:sectPr>
      </w:pPr>
    </w:p>
    <w:p w:rsidR="00E714BC" w:rsidRDefault="00E714BC" w:rsidP="00E714BC">
      <w:pPr>
        <w:spacing w:after="0" w:line="240" w:lineRule="auto"/>
        <w:jc w:val="both"/>
        <w:rPr>
          <w:rFonts w:ascii="Times New Roman" w:hAnsi="Times New Roman" w:cs="Times New Roman"/>
          <w:sz w:val="24"/>
          <w:szCs w:val="24"/>
        </w:rPr>
      </w:pPr>
    </w:p>
    <w:p w:rsidR="00E714BC" w:rsidRDefault="00E714BC" w:rsidP="00E714B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 В разделе «5. Программа развития системы коммунальной инфраструктуры, обеспечивающая достижение целевых показателей» в подразделе «5.2. Теплоснабжение» таблицу 18 на 2019 год изложить в следующей редакции:</w:t>
      </w:r>
    </w:p>
    <w:p w:rsidR="00E714BC" w:rsidRDefault="00E714BC" w:rsidP="00E714B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E714BC" w:rsidTr="00E714BC">
        <w:trPr>
          <w:trHeight w:val="586"/>
        </w:trPr>
        <w:tc>
          <w:tcPr>
            <w:tcW w:w="568" w:type="dxa"/>
            <w:vAlign w:val="center"/>
          </w:tcPr>
          <w:p w:rsidR="00E714BC" w:rsidRDefault="00E714BC" w:rsidP="00CA4428">
            <w:pPr>
              <w:jc w:val="center"/>
              <w:rPr>
                <w:rFonts w:ascii="Times New Roman" w:hAnsi="Times New Roman" w:cs="Times New Roman"/>
              </w:rPr>
            </w:pPr>
            <w:r>
              <w:rPr>
                <w:rFonts w:ascii="Times New Roman" w:hAnsi="Times New Roman" w:cs="Times New Roman"/>
              </w:rPr>
              <w:t>№ п/п</w:t>
            </w:r>
          </w:p>
          <w:p w:rsidR="00E714BC" w:rsidRDefault="00E714BC" w:rsidP="00CA4428">
            <w:pPr>
              <w:jc w:val="center"/>
              <w:rPr>
                <w:rFonts w:ascii="Times New Roman" w:hAnsi="Times New Roman" w:cs="Times New Roman"/>
              </w:rPr>
            </w:pPr>
          </w:p>
          <w:p w:rsidR="00E714BC" w:rsidRPr="00DD2553" w:rsidRDefault="00E714BC" w:rsidP="00CA4428">
            <w:pPr>
              <w:jc w:val="center"/>
              <w:rPr>
                <w:rFonts w:ascii="Times New Roman" w:hAnsi="Times New Roman" w:cs="Times New Roman"/>
              </w:rPr>
            </w:pPr>
          </w:p>
        </w:tc>
        <w:tc>
          <w:tcPr>
            <w:tcW w:w="3686" w:type="dxa"/>
            <w:vAlign w:val="center"/>
          </w:tcPr>
          <w:p w:rsidR="00E714BC" w:rsidRPr="00DD2553" w:rsidRDefault="00E714BC" w:rsidP="00CA4428">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E714BC" w:rsidRPr="00DD2553" w:rsidRDefault="00E714BC" w:rsidP="00CA4428">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E714BC" w:rsidRDefault="00E714BC" w:rsidP="00CA4428">
            <w:pPr>
              <w:jc w:val="center"/>
              <w:rPr>
                <w:rFonts w:ascii="Times New Roman" w:hAnsi="Times New Roman" w:cs="Times New Roman"/>
              </w:rPr>
            </w:pPr>
            <w:r>
              <w:rPr>
                <w:rFonts w:ascii="Times New Roman" w:hAnsi="Times New Roman" w:cs="Times New Roman"/>
              </w:rPr>
              <w:t xml:space="preserve">Стоимость, </w:t>
            </w:r>
          </w:p>
          <w:p w:rsidR="00E714BC" w:rsidRPr="00DD2553" w:rsidRDefault="00E714BC" w:rsidP="00CA4428">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E714BC" w:rsidRPr="00DD2553" w:rsidRDefault="00E714BC" w:rsidP="00CA4428">
            <w:pPr>
              <w:jc w:val="center"/>
              <w:rPr>
                <w:rFonts w:ascii="Times New Roman" w:hAnsi="Times New Roman" w:cs="Times New Roman"/>
              </w:rPr>
            </w:pPr>
            <w:r>
              <w:rPr>
                <w:rFonts w:ascii="Times New Roman" w:hAnsi="Times New Roman" w:cs="Times New Roman"/>
              </w:rPr>
              <w:t>Источники финансирования</w:t>
            </w:r>
          </w:p>
        </w:tc>
      </w:tr>
      <w:tr w:rsidR="00E714BC" w:rsidTr="00E714BC">
        <w:tc>
          <w:tcPr>
            <w:tcW w:w="10491" w:type="dxa"/>
            <w:gridSpan w:val="5"/>
            <w:vAlign w:val="center"/>
          </w:tcPr>
          <w:p w:rsidR="00E714BC" w:rsidRPr="00DD2553" w:rsidRDefault="00E714BC" w:rsidP="00CA4428">
            <w:pPr>
              <w:jc w:val="center"/>
              <w:rPr>
                <w:rFonts w:ascii="Times New Roman" w:hAnsi="Times New Roman" w:cs="Times New Roman"/>
                <w:sz w:val="24"/>
                <w:szCs w:val="24"/>
              </w:rPr>
            </w:pPr>
            <w:r>
              <w:rPr>
                <w:rFonts w:ascii="Times New Roman" w:hAnsi="Times New Roman" w:cs="Times New Roman"/>
                <w:sz w:val="24"/>
                <w:szCs w:val="24"/>
              </w:rPr>
              <w:t>2019</w:t>
            </w:r>
            <w:r w:rsidRPr="00DD2553">
              <w:rPr>
                <w:rFonts w:ascii="Times New Roman" w:hAnsi="Times New Roman" w:cs="Times New Roman"/>
                <w:sz w:val="24"/>
                <w:szCs w:val="24"/>
              </w:rPr>
              <w:t xml:space="preserve"> год</w:t>
            </w:r>
          </w:p>
        </w:tc>
      </w:tr>
      <w:tr w:rsidR="00E714BC" w:rsidTr="00E714BC">
        <w:trPr>
          <w:trHeight w:val="772"/>
        </w:trPr>
        <w:tc>
          <w:tcPr>
            <w:tcW w:w="568" w:type="dxa"/>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E714BC" w:rsidRPr="00FF3157" w:rsidRDefault="00E714BC" w:rsidP="00CA4428">
            <w:pPr>
              <w:rPr>
                <w:rFonts w:ascii="Times New Roman" w:hAnsi="Times New Roman" w:cs="Times New Roman"/>
                <w:sz w:val="24"/>
                <w:szCs w:val="24"/>
              </w:rPr>
            </w:pPr>
            <w:r>
              <w:rPr>
                <w:rFonts w:ascii="Times New Roman" w:hAnsi="Times New Roman" w:cs="Times New Roman"/>
                <w:sz w:val="24"/>
                <w:szCs w:val="24"/>
              </w:rPr>
              <w:t xml:space="preserve">Приобретение жаровых труб </w:t>
            </w:r>
            <w:r>
              <w:rPr>
                <w:rFonts w:ascii="Times New Roman" w:hAnsi="Times New Roman" w:cs="Times New Roman"/>
                <w:sz w:val="24"/>
                <w:szCs w:val="24"/>
                <w:lang w:val="en-US"/>
              </w:rPr>
              <w:t>d</w:t>
            </w:r>
            <w:r>
              <w:rPr>
                <w:rFonts w:ascii="Times New Roman" w:hAnsi="Times New Roman" w:cs="Times New Roman"/>
                <w:sz w:val="24"/>
                <w:szCs w:val="24"/>
              </w:rPr>
              <w:t>=57мм для котла КСВ-2.</w:t>
            </w:r>
            <w:r w:rsidRPr="00FF3157">
              <w:rPr>
                <w:rFonts w:ascii="Times New Roman" w:hAnsi="Times New Roman" w:cs="Times New Roman"/>
                <w:sz w:val="24"/>
                <w:szCs w:val="24"/>
              </w:rPr>
              <w:t>0</w:t>
            </w:r>
            <w:r>
              <w:rPr>
                <w:rFonts w:ascii="Times New Roman" w:hAnsi="Times New Roman" w:cs="Times New Roman"/>
                <w:sz w:val="24"/>
                <w:szCs w:val="24"/>
              </w:rPr>
              <w:t xml:space="preserve"> в котельной №4</w:t>
            </w:r>
          </w:p>
        </w:tc>
        <w:tc>
          <w:tcPr>
            <w:tcW w:w="1842" w:type="dxa"/>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40 шт.</w:t>
            </w:r>
          </w:p>
        </w:tc>
        <w:tc>
          <w:tcPr>
            <w:tcW w:w="1418" w:type="dxa"/>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50,0</w:t>
            </w:r>
          </w:p>
        </w:tc>
        <w:tc>
          <w:tcPr>
            <w:tcW w:w="2977" w:type="dxa"/>
            <w:vAlign w:val="center"/>
          </w:tcPr>
          <w:p w:rsidR="00E714BC" w:rsidRPr="00DD2553" w:rsidRDefault="00E714BC"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E714BC" w:rsidTr="00E714BC">
        <w:tc>
          <w:tcPr>
            <w:tcW w:w="568" w:type="dxa"/>
            <w:vAlign w:val="center"/>
          </w:tcPr>
          <w:p w:rsidR="00E714BC" w:rsidRPr="00DA48C7" w:rsidRDefault="00E714BC" w:rsidP="00CA4428">
            <w:pPr>
              <w:jc w:val="center"/>
              <w:rPr>
                <w:rFonts w:ascii="Times New Roman" w:hAnsi="Times New Roman" w:cs="Times New Roman"/>
                <w:sz w:val="24"/>
                <w:szCs w:val="24"/>
                <w:highlight w:val="yellow"/>
              </w:rPr>
            </w:pPr>
            <w:r w:rsidRPr="00AA23D2">
              <w:rPr>
                <w:rFonts w:ascii="Times New Roman" w:hAnsi="Times New Roman" w:cs="Times New Roman"/>
                <w:sz w:val="24"/>
                <w:szCs w:val="24"/>
              </w:rPr>
              <w:t>2.</w:t>
            </w:r>
          </w:p>
        </w:tc>
        <w:tc>
          <w:tcPr>
            <w:tcW w:w="3686" w:type="dxa"/>
            <w:vAlign w:val="center"/>
          </w:tcPr>
          <w:p w:rsidR="00E714BC" w:rsidRPr="00DA48C7" w:rsidRDefault="00E714BC" w:rsidP="00CA4428">
            <w:pPr>
              <w:rPr>
                <w:rFonts w:ascii="Times New Roman" w:hAnsi="Times New Roman" w:cs="Times New Roman"/>
                <w:color w:val="000000"/>
                <w:sz w:val="24"/>
                <w:szCs w:val="24"/>
                <w:highlight w:val="yellow"/>
                <w:shd w:val="clear" w:color="auto" w:fill="FFFFFF"/>
                <w:lang w:bidi="ru-RU"/>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4</w:t>
            </w:r>
          </w:p>
        </w:tc>
        <w:tc>
          <w:tcPr>
            <w:tcW w:w="1842" w:type="dxa"/>
            <w:vAlign w:val="center"/>
          </w:tcPr>
          <w:p w:rsidR="00E714BC" w:rsidRPr="00DA48C7" w:rsidRDefault="00E714BC" w:rsidP="00CA4428">
            <w:pPr>
              <w:jc w:val="center"/>
              <w:rPr>
                <w:rFonts w:ascii="Times New Roman" w:hAnsi="Times New Roman" w:cs="Times New Roman"/>
                <w:sz w:val="24"/>
                <w:szCs w:val="24"/>
                <w:highlight w:val="yellow"/>
              </w:rPr>
            </w:pPr>
            <w:r w:rsidRPr="001619C2">
              <w:rPr>
                <w:rFonts w:ascii="Times New Roman" w:hAnsi="Times New Roman" w:cs="Times New Roman"/>
                <w:sz w:val="24"/>
                <w:szCs w:val="24"/>
              </w:rPr>
              <w:t>1 шт.</w:t>
            </w:r>
          </w:p>
        </w:tc>
        <w:tc>
          <w:tcPr>
            <w:tcW w:w="1418" w:type="dxa"/>
            <w:vAlign w:val="center"/>
          </w:tcPr>
          <w:p w:rsidR="00E714BC" w:rsidRPr="00DA48C7" w:rsidRDefault="00E714BC" w:rsidP="00CA4428">
            <w:pPr>
              <w:jc w:val="center"/>
              <w:rPr>
                <w:rFonts w:ascii="Times New Roman" w:hAnsi="Times New Roman" w:cs="Times New Roman"/>
                <w:sz w:val="24"/>
                <w:szCs w:val="24"/>
                <w:highlight w:val="yellow"/>
              </w:rPr>
            </w:pPr>
            <w:r>
              <w:rPr>
                <w:rFonts w:ascii="Times New Roman" w:hAnsi="Times New Roman" w:cs="Times New Roman"/>
                <w:sz w:val="24"/>
                <w:szCs w:val="24"/>
              </w:rPr>
              <w:t>224,0</w:t>
            </w:r>
          </w:p>
        </w:tc>
        <w:tc>
          <w:tcPr>
            <w:tcW w:w="2977" w:type="dxa"/>
            <w:vAlign w:val="center"/>
          </w:tcPr>
          <w:p w:rsidR="00E714BC" w:rsidRPr="00DA48C7" w:rsidRDefault="00E714BC" w:rsidP="00CA4428">
            <w:pPr>
              <w:jc w:val="center"/>
              <w:rPr>
                <w:rFonts w:ascii="Times New Roman" w:hAnsi="Times New Roman" w:cs="Times New Roman"/>
                <w:sz w:val="20"/>
                <w:szCs w:val="20"/>
                <w:highlight w:val="yellow"/>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E714BC" w:rsidTr="00E714BC">
        <w:trPr>
          <w:trHeight w:val="1185"/>
        </w:trPr>
        <w:tc>
          <w:tcPr>
            <w:tcW w:w="568" w:type="dxa"/>
            <w:tcBorders>
              <w:bottom w:val="single" w:sz="4" w:space="0" w:color="auto"/>
            </w:tcBorders>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vAlign w:val="center"/>
          </w:tcPr>
          <w:p w:rsidR="00E714BC" w:rsidRPr="00FF3157" w:rsidRDefault="00E714BC" w:rsidP="00CA4428">
            <w:pPr>
              <w:rPr>
                <w:rFonts w:ascii="Times New Roman" w:hAnsi="Times New Roman" w:cs="Times New Roman"/>
                <w:sz w:val="24"/>
                <w:szCs w:val="24"/>
              </w:rPr>
            </w:pPr>
            <w:r w:rsidRPr="00FF3157">
              <w:rPr>
                <w:rFonts w:ascii="Times New Roman" w:hAnsi="Times New Roman" w:cs="Times New Roman"/>
                <w:sz w:val="24"/>
                <w:szCs w:val="16"/>
              </w:rPr>
              <w:t xml:space="preserve">Приобретение комплекта форсунок производства </w:t>
            </w:r>
            <w:r w:rsidRPr="00FF3157">
              <w:rPr>
                <w:rFonts w:ascii="Times New Roman" w:hAnsi="Times New Roman" w:cs="Times New Roman"/>
                <w:sz w:val="24"/>
                <w:szCs w:val="16"/>
                <w:lang w:val="en-US"/>
              </w:rPr>
              <w:t>Hago</w:t>
            </w:r>
            <w:r w:rsidRPr="00FF3157">
              <w:rPr>
                <w:rFonts w:ascii="Times New Roman" w:hAnsi="Times New Roman" w:cs="Times New Roman"/>
                <w:sz w:val="24"/>
                <w:szCs w:val="16"/>
              </w:rPr>
              <w:t xml:space="preserve">, </w:t>
            </w:r>
            <w:r w:rsidRPr="00FF3157">
              <w:rPr>
                <w:rFonts w:ascii="Times New Roman" w:hAnsi="Times New Roman" w:cs="Times New Roman"/>
                <w:sz w:val="24"/>
                <w:szCs w:val="16"/>
                <w:lang w:val="en-US"/>
              </w:rPr>
              <w:t>Fluidics</w:t>
            </w:r>
            <w:r w:rsidRPr="00FF3157">
              <w:rPr>
                <w:rFonts w:ascii="Times New Roman" w:hAnsi="Times New Roman" w:cs="Times New Roman"/>
                <w:sz w:val="24"/>
                <w:szCs w:val="16"/>
              </w:rPr>
              <w:t xml:space="preserve"> </w:t>
            </w:r>
            <w:r>
              <w:rPr>
                <w:rFonts w:ascii="Times New Roman" w:hAnsi="Times New Roman" w:cs="Times New Roman"/>
                <w:sz w:val="24"/>
                <w:szCs w:val="16"/>
              </w:rPr>
              <w:t xml:space="preserve">для котлов КСВ-2.0, КСВ-1.0 </w:t>
            </w:r>
            <w:r w:rsidRPr="00FF3157">
              <w:rPr>
                <w:rFonts w:ascii="Times New Roman" w:hAnsi="Times New Roman" w:cs="Times New Roman"/>
                <w:sz w:val="24"/>
                <w:szCs w:val="16"/>
              </w:rPr>
              <w:t>на котельную №1, №4</w:t>
            </w:r>
          </w:p>
        </w:tc>
        <w:tc>
          <w:tcPr>
            <w:tcW w:w="1842" w:type="dxa"/>
            <w:tcBorders>
              <w:bottom w:val="single" w:sz="4" w:space="0" w:color="auto"/>
            </w:tcBorders>
            <w:vAlign w:val="center"/>
          </w:tcPr>
          <w:p w:rsidR="00E714BC" w:rsidRPr="00FF3157" w:rsidRDefault="00E714BC" w:rsidP="00CA4428">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c>
          <w:tcPr>
            <w:tcW w:w="1418" w:type="dxa"/>
            <w:tcBorders>
              <w:bottom w:val="single" w:sz="4" w:space="0" w:color="auto"/>
            </w:tcBorders>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20,0</w:t>
            </w:r>
          </w:p>
        </w:tc>
        <w:tc>
          <w:tcPr>
            <w:tcW w:w="2977" w:type="dxa"/>
            <w:tcBorders>
              <w:bottom w:val="single" w:sz="4" w:space="0" w:color="auto"/>
            </w:tcBorders>
            <w:vAlign w:val="center"/>
          </w:tcPr>
          <w:p w:rsidR="00E714BC" w:rsidRPr="00DD2553" w:rsidRDefault="00E714BC"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E714BC" w:rsidTr="00E714BC">
        <w:trPr>
          <w:trHeight w:val="300"/>
        </w:trPr>
        <w:tc>
          <w:tcPr>
            <w:tcW w:w="568" w:type="dxa"/>
            <w:tcBorders>
              <w:top w:val="single" w:sz="4" w:space="0" w:color="auto"/>
              <w:bottom w:val="single" w:sz="4" w:space="0" w:color="auto"/>
            </w:tcBorders>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bottom w:val="single" w:sz="4" w:space="0" w:color="auto"/>
            </w:tcBorders>
            <w:vAlign w:val="center"/>
          </w:tcPr>
          <w:p w:rsidR="00E714BC" w:rsidRPr="008E6ECD" w:rsidRDefault="00E714BC" w:rsidP="00CA4428">
            <w:pPr>
              <w:rPr>
                <w:rFonts w:ascii="Times New Roman" w:hAnsi="Times New Roman" w:cs="Times New Roman"/>
                <w:sz w:val="24"/>
                <w:szCs w:val="16"/>
              </w:rPr>
            </w:pPr>
            <w:r>
              <w:rPr>
                <w:rFonts w:ascii="Times New Roman" w:hAnsi="Times New Roman" w:cs="Times New Roman"/>
                <w:sz w:val="24"/>
                <w:szCs w:val="16"/>
              </w:rPr>
              <w:t xml:space="preserve">Приобретение водогазопроводных труб </w:t>
            </w:r>
            <w:r>
              <w:rPr>
                <w:rFonts w:ascii="Times New Roman" w:hAnsi="Times New Roman" w:cs="Times New Roman"/>
                <w:sz w:val="24"/>
                <w:szCs w:val="16"/>
                <w:lang w:val="en-US"/>
              </w:rPr>
              <w:t>d</w:t>
            </w:r>
            <w:r>
              <w:rPr>
                <w:rFonts w:ascii="Times New Roman" w:hAnsi="Times New Roman" w:cs="Times New Roman"/>
                <w:sz w:val="24"/>
                <w:szCs w:val="16"/>
              </w:rPr>
              <w:t>=25; 32; 40мм для подключения новых потребителей, ремонта подводов в помещениях, для подключения системы обогрева емкостей</w:t>
            </w:r>
          </w:p>
        </w:tc>
        <w:tc>
          <w:tcPr>
            <w:tcW w:w="1842" w:type="dxa"/>
            <w:tcBorders>
              <w:top w:val="single" w:sz="4" w:space="0" w:color="auto"/>
              <w:bottom w:val="single" w:sz="4" w:space="0" w:color="auto"/>
            </w:tcBorders>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45 шт.</w:t>
            </w:r>
          </w:p>
        </w:tc>
        <w:tc>
          <w:tcPr>
            <w:tcW w:w="1418" w:type="dxa"/>
            <w:tcBorders>
              <w:top w:val="single" w:sz="4" w:space="0" w:color="auto"/>
              <w:bottom w:val="single" w:sz="4" w:space="0" w:color="auto"/>
            </w:tcBorders>
            <w:vAlign w:val="center"/>
          </w:tcPr>
          <w:p w:rsidR="00E714BC" w:rsidRDefault="00E714BC" w:rsidP="00CA4428">
            <w:pPr>
              <w:jc w:val="center"/>
              <w:rPr>
                <w:rFonts w:ascii="Times New Roman" w:hAnsi="Times New Roman" w:cs="Times New Roman"/>
                <w:sz w:val="24"/>
                <w:szCs w:val="24"/>
              </w:rPr>
            </w:pPr>
            <w:r>
              <w:rPr>
                <w:rFonts w:ascii="Times New Roman" w:hAnsi="Times New Roman" w:cs="Times New Roman"/>
                <w:sz w:val="24"/>
                <w:szCs w:val="24"/>
              </w:rPr>
              <w:t>49,9</w:t>
            </w:r>
          </w:p>
        </w:tc>
        <w:tc>
          <w:tcPr>
            <w:tcW w:w="2977" w:type="dxa"/>
            <w:tcBorders>
              <w:top w:val="single" w:sz="4" w:space="0" w:color="auto"/>
              <w:bottom w:val="single" w:sz="4" w:space="0" w:color="auto"/>
            </w:tcBorders>
            <w:vAlign w:val="center"/>
          </w:tcPr>
          <w:p w:rsidR="00E714BC" w:rsidRPr="00AA23D2" w:rsidRDefault="00E714BC"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E714BC" w:rsidTr="00E714BC">
        <w:tc>
          <w:tcPr>
            <w:tcW w:w="6096" w:type="dxa"/>
            <w:gridSpan w:val="3"/>
            <w:vAlign w:val="center"/>
          </w:tcPr>
          <w:p w:rsidR="00E714BC" w:rsidRDefault="00E714BC" w:rsidP="00CA4428">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E714BC" w:rsidRPr="00986F34" w:rsidRDefault="00E714BC" w:rsidP="00CA4428">
            <w:pPr>
              <w:jc w:val="center"/>
              <w:rPr>
                <w:rFonts w:ascii="Times New Roman" w:hAnsi="Times New Roman" w:cs="Times New Roman"/>
                <w:sz w:val="24"/>
                <w:szCs w:val="24"/>
              </w:rPr>
            </w:pPr>
            <w:r>
              <w:rPr>
                <w:rFonts w:ascii="Times New Roman" w:hAnsi="Times New Roman" w:cs="Times New Roman"/>
                <w:sz w:val="24"/>
                <w:szCs w:val="24"/>
              </w:rPr>
              <w:t>343,90</w:t>
            </w:r>
          </w:p>
        </w:tc>
        <w:tc>
          <w:tcPr>
            <w:tcW w:w="2977" w:type="dxa"/>
          </w:tcPr>
          <w:p w:rsidR="00E714BC" w:rsidRPr="00DD2553" w:rsidRDefault="00E714BC" w:rsidP="00CA4428">
            <w:pPr>
              <w:jc w:val="center"/>
              <w:rPr>
                <w:rFonts w:ascii="Times New Roman" w:hAnsi="Times New Roman" w:cs="Times New Roman"/>
                <w:sz w:val="20"/>
                <w:szCs w:val="20"/>
              </w:rPr>
            </w:pPr>
          </w:p>
        </w:tc>
      </w:tr>
    </w:tbl>
    <w:p w:rsidR="00E714BC" w:rsidRDefault="00E714BC" w:rsidP="00E714BC">
      <w:pPr>
        <w:spacing w:after="0" w:line="240" w:lineRule="auto"/>
        <w:ind w:firstLine="284"/>
        <w:jc w:val="both"/>
        <w:rPr>
          <w:rFonts w:ascii="Times New Roman" w:hAnsi="Times New Roman" w:cs="Times New Roman"/>
          <w:sz w:val="24"/>
          <w:szCs w:val="24"/>
        </w:rPr>
      </w:pPr>
    </w:p>
    <w:p w:rsidR="00E714BC" w:rsidRDefault="00E714BC" w:rsidP="00E714BC">
      <w:pPr>
        <w:pStyle w:val="42"/>
        <w:keepNext/>
        <w:keepLines/>
        <w:shd w:val="clear" w:color="auto" w:fill="auto"/>
        <w:spacing w:before="0" w:after="0" w:line="240" w:lineRule="exact"/>
        <w:ind w:firstLine="284"/>
        <w:rPr>
          <w:b w:val="0"/>
          <w:sz w:val="24"/>
          <w:szCs w:val="24"/>
        </w:rPr>
      </w:pPr>
      <w:r w:rsidRPr="008C688F">
        <w:rPr>
          <w:b w:val="0"/>
          <w:sz w:val="24"/>
          <w:szCs w:val="24"/>
        </w:rPr>
        <w:t>2.</w:t>
      </w:r>
      <w:r>
        <w:rPr>
          <w:b w:val="0"/>
          <w:sz w:val="24"/>
          <w:szCs w:val="24"/>
        </w:rPr>
        <w:t xml:space="preserve"> Настоящее постановление вступает в силу со дня официального обнародования.</w:t>
      </w:r>
    </w:p>
    <w:p w:rsidR="00E714BC" w:rsidRPr="008C688F" w:rsidRDefault="00E714BC" w:rsidP="00E714BC">
      <w:pPr>
        <w:pStyle w:val="42"/>
        <w:keepNext/>
        <w:keepLines/>
        <w:shd w:val="clear" w:color="auto" w:fill="auto"/>
        <w:spacing w:before="0" w:after="0" w:line="240" w:lineRule="exact"/>
        <w:ind w:firstLine="284"/>
        <w:rPr>
          <w:b w:val="0"/>
          <w:sz w:val="24"/>
          <w:szCs w:val="24"/>
        </w:rPr>
      </w:pPr>
      <w:r>
        <w:rPr>
          <w:b w:val="0"/>
          <w:sz w:val="24"/>
          <w:szCs w:val="24"/>
        </w:rPr>
        <w:t>3. Обнародовать настоящее постановление в порядке, установленном Уставом Муниципального образования Нововасюганское сельское поселение.</w:t>
      </w: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Pr="00CD3915" w:rsidRDefault="00D5251E"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И.о. Главы</w:t>
      </w:r>
      <w:r w:rsidR="00E714BC" w:rsidRPr="00CD3915">
        <w:rPr>
          <w:rFonts w:ascii="Times New Roman" w:hAnsi="Times New Roman" w:cs="Times New Roman"/>
          <w:sz w:val="24"/>
          <w:szCs w:val="24"/>
        </w:rPr>
        <w:t xml:space="preserve"> Нововасюганского </w:t>
      </w:r>
    </w:p>
    <w:p w:rsidR="00E714BC" w:rsidRPr="00CD3915" w:rsidRDefault="00E714BC" w:rsidP="00E714BC">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сельского поселения</w:t>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5251E">
        <w:rPr>
          <w:rFonts w:ascii="Times New Roman" w:hAnsi="Times New Roman" w:cs="Times New Roman"/>
          <w:sz w:val="24"/>
          <w:szCs w:val="24"/>
        </w:rPr>
        <w:t>И.В. Воробьева</w:t>
      </w: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p>
    <w:p w:rsidR="00484D86" w:rsidRPr="006458E7" w:rsidRDefault="00E714BC" w:rsidP="006458E7">
      <w:pPr>
        <w:spacing w:after="0" w:line="240" w:lineRule="auto"/>
        <w:rPr>
          <w:rFonts w:ascii="Times New Roman" w:hAnsi="Times New Roman" w:cs="Times New Roman"/>
          <w:sz w:val="18"/>
          <w:szCs w:val="18"/>
        </w:rPr>
        <w:sectPr w:rsidR="00484D86" w:rsidRPr="006458E7" w:rsidSect="000B7AE0">
          <w:pgSz w:w="11900" w:h="16840"/>
          <w:pgMar w:top="851" w:right="851" w:bottom="851" w:left="1247" w:header="0" w:footer="6" w:gutter="0"/>
          <w:cols w:space="720"/>
          <w:noEndnote/>
          <w:docGrid w:linePitch="360"/>
        </w:sectPr>
      </w:pPr>
      <w:r w:rsidRPr="00CD3915">
        <w:rPr>
          <w:rFonts w:ascii="Times New Roman" w:hAnsi="Times New Roman" w:cs="Times New Roman"/>
          <w:sz w:val="18"/>
          <w:szCs w:val="18"/>
        </w:rPr>
        <w:t>Филипова Е.В.</w:t>
      </w:r>
    </w:p>
    <w:p w:rsidR="00094F04" w:rsidRDefault="00094F04" w:rsidP="00D5251E">
      <w:pPr>
        <w:spacing w:after="0" w:line="240" w:lineRule="auto"/>
        <w:rPr>
          <w:rFonts w:ascii="Times New Roman" w:hAnsi="Times New Roman" w:cs="Times New Roman"/>
          <w:sz w:val="24"/>
          <w:szCs w:val="24"/>
        </w:rPr>
      </w:pPr>
    </w:p>
    <w:p w:rsidR="002057BD" w:rsidRPr="002057BD" w:rsidRDefault="006458E7"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00B13205">
        <w:rPr>
          <w:rFonts w:ascii="Times New Roman" w:hAnsi="Times New Roman" w:cs="Times New Roman"/>
          <w:sz w:val="24"/>
          <w:szCs w:val="24"/>
        </w:rPr>
        <w:t xml:space="preserve"> </w:t>
      </w:r>
    </w:p>
    <w:p w:rsidR="002057BD" w:rsidRPr="002057BD" w:rsidRDefault="00B13205"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458E7">
        <w:rPr>
          <w:rFonts w:ascii="Times New Roman" w:hAnsi="Times New Roman" w:cs="Times New Roman"/>
          <w:sz w:val="24"/>
          <w:szCs w:val="24"/>
        </w:rPr>
        <w:t>к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03593">
        <w:rPr>
          <w:rFonts w:ascii="Times New Roman" w:hAnsi="Times New Roman" w:cs="Times New Roman"/>
          <w:sz w:val="24"/>
          <w:szCs w:val="24"/>
        </w:rPr>
        <w:t>21.06</w:t>
      </w:r>
      <w:r>
        <w:rPr>
          <w:rFonts w:ascii="Times New Roman" w:hAnsi="Times New Roman" w:cs="Times New Roman"/>
          <w:sz w:val="24"/>
          <w:szCs w:val="24"/>
        </w:rPr>
        <w:t>.</w:t>
      </w:r>
      <w:r w:rsidR="00246C97">
        <w:rPr>
          <w:rFonts w:ascii="Times New Roman" w:hAnsi="Times New Roman" w:cs="Times New Roman"/>
          <w:sz w:val="24"/>
          <w:szCs w:val="24"/>
        </w:rPr>
        <w:t>2019</w:t>
      </w:r>
      <w:r w:rsidR="002057BD" w:rsidRPr="002057BD">
        <w:rPr>
          <w:rFonts w:ascii="Times New Roman" w:hAnsi="Times New Roman" w:cs="Times New Roman"/>
          <w:sz w:val="24"/>
          <w:szCs w:val="24"/>
        </w:rPr>
        <w:t xml:space="preserve"> № </w:t>
      </w:r>
      <w:r w:rsidR="00603593">
        <w:rPr>
          <w:rFonts w:ascii="Times New Roman" w:hAnsi="Times New Roman" w:cs="Times New Roman"/>
          <w:sz w:val="24"/>
          <w:szCs w:val="24"/>
        </w:rPr>
        <w:t>48</w:t>
      </w:r>
    </w:p>
    <w:p w:rsidR="008026EC" w:rsidRDefault="008026EC" w:rsidP="00802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Pr="002057BD">
        <w:rPr>
          <w:rFonts w:ascii="Times New Roman" w:hAnsi="Times New Roman" w:cs="Times New Roman"/>
          <w:sz w:val="24"/>
          <w:szCs w:val="24"/>
        </w:rPr>
        <w:t>Постановле</w:t>
      </w:r>
      <w:r>
        <w:rPr>
          <w:rFonts w:ascii="Times New Roman" w:hAnsi="Times New Roman" w:cs="Times New Roman"/>
          <w:sz w:val="24"/>
          <w:szCs w:val="24"/>
        </w:rPr>
        <w:t xml:space="preserve">ния МКУ администрации </w:t>
      </w:r>
    </w:p>
    <w:p w:rsidR="008026EC" w:rsidRPr="002057BD" w:rsidRDefault="008026EC" w:rsidP="008026EC">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r>
        <w:rPr>
          <w:rFonts w:ascii="Times New Roman" w:hAnsi="Times New Roman" w:cs="Times New Roman"/>
          <w:sz w:val="24"/>
          <w:szCs w:val="24"/>
        </w:rPr>
        <w:t xml:space="preserve"> от 18.01.2017 </w:t>
      </w:r>
      <w:r w:rsidRPr="002057BD">
        <w:rPr>
          <w:rFonts w:ascii="Times New Roman" w:hAnsi="Times New Roman" w:cs="Times New Roman"/>
          <w:sz w:val="24"/>
          <w:szCs w:val="24"/>
        </w:rPr>
        <w:t>№</w:t>
      </w:r>
      <w:r>
        <w:rPr>
          <w:rFonts w:ascii="Times New Roman" w:hAnsi="Times New Roman" w:cs="Times New Roman"/>
          <w:sz w:val="24"/>
          <w:szCs w:val="24"/>
        </w:rPr>
        <w:t xml:space="preserve"> 6)</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6458E7" w:rsidRDefault="002057BD" w:rsidP="006458E7">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684DF4" w:rsidP="00B80DB6">
      <w:pPr>
        <w:pStyle w:val="22"/>
        <w:jc w:val="center"/>
        <w:rPr>
          <w:b/>
        </w:rPr>
      </w:pPr>
      <w:r>
        <w:rPr>
          <w:b/>
        </w:rPr>
        <w:lastRenderedPageBreak/>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0841FB">
        <w:rPr>
          <w:b/>
        </w:rPr>
        <w:t xml:space="preserve">                               3</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0841FB">
        <w:rPr>
          <w:b/>
        </w:rPr>
        <w:t xml:space="preserve">           5</w:t>
      </w:r>
      <w:r w:rsidR="00D324E5">
        <w:rPr>
          <w:b/>
        </w:rPr>
        <w:t xml:space="preserve">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0841FB">
        <w:rPr>
          <w:b/>
        </w:rPr>
        <w:t xml:space="preserve">                               6</w:t>
      </w:r>
    </w:p>
    <w:p w:rsidR="004B386E" w:rsidRDefault="004B386E" w:rsidP="00531AF9">
      <w:pPr>
        <w:pStyle w:val="22"/>
        <w:spacing w:line="360" w:lineRule="auto"/>
        <w:rPr>
          <w:b/>
        </w:rPr>
      </w:pPr>
      <w:r>
        <w:rPr>
          <w:b/>
        </w:rPr>
        <w:t xml:space="preserve">3.1. Общие сведения о Муниципальном образовании                           </w:t>
      </w:r>
      <w:r w:rsidR="000841FB">
        <w:rPr>
          <w:b/>
        </w:rPr>
        <w:t xml:space="preserve">                               6</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0841FB">
        <w:rPr>
          <w:b/>
        </w:rPr>
        <w:t>6</w:t>
      </w:r>
    </w:p>
    <w:p w:rsidR="00A35935" w:rsidRDefault="00A35935" w:rsidP="00531AF9">
      <w:pPr>
        <w:pStyle w:val="22"/>
        <w:spacing w:line="360" w:lineRule="auto"/>
        <w:rPr>
          <w:b/>
        </w:rPr>
      </w:pPr>
      <w:r>
        <w:rPr>
          <w:b/>
        </w:rPr>
        <w:t xml:space="preserve">3.3. Жилищный фонд Муниципального образования                                                          </w:t>
      </w:r>
      <w:r w:rsidR="000841FB">
        <w:rPr>
          <w:b/>
        </w:rPr>
        <w:t>7</w:t>
      </w:r>
    </w:p>
    <w:p w:rsidR="00A35935" w:rsidRDefault="00A35935" w:rsidP="00531AF9">
      <w:pPr>
        <w:pStyle w:val="22"/>
        <w:spacing w:line="360" w:lineRule="auto"/>
        <w:rPr>
          <w:b/>
        </w:rPr>
      </w:pPr>
      <w:r>
        <w:rPr>
          <w:b/>
        </w:rPr>
        <w:t xml:space="preserve">3.4. Экономика Муниципального образования                                                          </w:t>
      </w:r>
      <w:r w:rsidR="000841FB">
        <w:rPr>
          <w:b/>
        </w:rPr>
        <w:t xml:space="preserve">            8</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0841FB">
        <w:rPr>
          <w:b/>
        </w:rPr>
        <w:t xml:space="preserve">                9</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0841FB">
        <w:rPr>
          <w:sz w:val="24"/>
          <w:szCs w:val="24"/>
        </w:rPr>
        <w:t xml:space="preserve">                          9</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w:t>
      </w:r>
      <w:r w:rsidR="000841FB">
        <w:rPr>
          <w:b/>
        </w:rPr>
        <w:t xml:space="preserve">                              9</w:t>
      </w:r>
      <w:r w:rsidR="005F14A2">
        <w:rPr>
          <w:b/>
        </w:rPr>
        <w:t xml:space="preserve">             </w:t>
      </w:r>
    </w:p>
    <w:p w:rsidR="00A35935" w:rsidRDefault="00A35935" w:rsidP="00531AF9">
      <w:pPr>
        <w:pStyle w:val="22"/>
        <w:spacing w:line="360" w:lineRule="auto"/>
        <w:rPr>
          <w:b/>
        </w:rPr>
      </w:pPr>
      <w:r>
        <w:rPr>
          <w:b/>
        </w:rPr>
        <w:t>4.3. Теплоснабжение</w:t>
      </w:r>
      <w:r w:rsidR="005F14A2">
        <w:rPr>
          <w:b/>
        </w:rPr>
        <w:t xml:space="preserve">                                                                                       </w:t>
      </w:r>
      <w:r w:rsidR="000841FB">
        <w:rPr>
          <w:b/>
        </w:rPr>
        <w:t xml:space="preserve">                              12</w:t>
      </w:r>
    </w:p>
    <w:p w:rsidR="00A35935" w:rsidRDefault="00A35935" w:rsidP="00531AF9">
      <w:pPr>
        <w:pStyle w:val="22"/>
        <w:spacing w:line="360" w:lineRule="auto"/>
        <w:rPr>
          <w:b/>
        </w:rPr>
      </w:pPr>
      <w:r>
        <w:rPr>
          <w:b/>
        </w:rPr>
        <w:t>4.4. Электроснабжение</w:t>
      </w:r>
      <w:r w:rsidR="005F14A2">
        <w:rPr>
          <w:b/>
        </w:rPr>
        <w:t xml:space="preserve">                                                                                   </w:t>
      </w:r>
      <w:r w:rsidR="00CD3915">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EC1FEC">
      <w:pPr>
        <w:pStyle w:val="22"/>
        <w:jc w:val="center"/>
        <w:rPr>
          <w:b/>
        </w:rPr>
      </w:pPr>
    </w:p>
    <w:p w:rsidR="006458E7" w:rsidRDefault="006458E7"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6458E7" w:rsidRDefault="006458E7" w:rsidP="006458E7">
            <w:pPr>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на 2019 год составляет 474,3 тыс. руб., в т.ч. по видам коммунальных услуг: </w:t>
            </w:r>
          </w:p>
          <w:p w:rsidR="006458E7" w:rsidRDefault="006458E7" w:rsidP="006458E7">
            <w:pPr>
              <w:jc w:val="both"/>
              <w:rPr>
                <w:rFonts w:ascii="Times New Roman" w:hAnsi="Times New Roman" w:cs="Times New Roman"/>
                <w:sz w:val="24"/>
                <w:szCs w:val="24"/>
              </w:rPr>
            </w:pPr>
            <w:r>
              <w:rPr>
                <w:rFonts w:ascii="Times New Roman" w:hAnsi="Times New Roman" w:cs="Times New Roman"/>
                <w:sz w:val="24"/>
                <w:szCs w:val="24"/>
              </w:rPr>
              <w:t>Теплоснабжение – 343,9 тыс. руб.</w:t>
            </w:r>
          </w:p>
          <w:p w:rsidR="00531AF9" w:rsidRPr="006458E7" w:rsidRDefault="006458E7" w:rsidP="006458E7">
            <w:pPr>
              <w:jc w:val="both"/>
              <w:rPr>
                <w:rFonts w:ascii="Times New Roman" w:hAnsi="Times New Roman" w:cs="Times New Roman"/>
                <w:sz w:val="24"/>
                <w:szCs w:val="24"/>
              </w:rPr>
            </w:pPr>
            <w:r>
              <w:rPr>
                <w:rFonts w:ascii="Times New Roman" w:hAnsi="Times New Roman" w:cs="Times New Roman"/>
                <w:sz w:val="24"/>
                <w:szCs w:val="24"/>
              </w:rPr>
              <w:t>Водоснабжение – 130,4 тыс. руб.</w:t>
            </w:r>
          </w:p>
          <w:p w:rsidR="00B80DB6" w:rsidRPr="002B45D6" w:rsidRDefault="006458E7" w:rsidP="00722F53">
            <w:pPr>
              <w:pStyle w:val="22"/>
              <w:ind w:left="-88"/>
            </w:pPr>
            <w:r>
              <w:t>Источники финансирования: бюджет муниципального образования Нововасюганское сельское поселение, средства МУП «ЖКХ Нововасюганское»</w:t>
            </w:r>
          </w:p>
        </w:tc>
      </w:tr>
      <w:tr w:rsidR="00B80DB6" w:rsidTr="007950C1">
        <w:tc>
          <w:tcPr>
            <w:tcW w:w="2660" w:type="dxa"/>
          </w:tcPr>
          <w:p w:rsidR="00B80DB6" w:rsidRPr="002B45D6" w:rsidRDefault="00B80DB6" w:rsidP="007950C1">
            <w:pPr>
              <w:pStyle w:val="22"/>
            </w:pPr>
            <w:r>
              <w:lastRenderedPageBreak/>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механизмов развития энергосбережения и 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6458E7" w:rsidRDefault="006458E7" w:rsidP="006458E7">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6458E7" w:rsidRDefault="006458E7" w:rsidP="006458E7">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6458E7" w:rsidRDefault="006458E7" w:rsidP="006458E7">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6458E7" w:rsidRPr="00DD2553" w:rsidTr="00CA4428">
        <w:tc>
          <w:tcPr>
            <w:tcW w:w="1276" w:type="dxa"/>
            <w:vMerge w:val="restart"/>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Ожид</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аемы</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й</w:t>
            </w:r>
          </w:p>
          <w:p w:rsidR="006458E7" w:rsidRPr="00DD2553" w:rsidRDefault="006458E7"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6458E7" w:rsidRPr="00DD2553" w:rsidRDefault="006458E7" w:rsidP="00CA442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6458E7" w:rsidRPr="00DD2553" w:rsidTr="00CA4428">
        <w:tc>
          <w:tcPr>
            <w:tcW w:w="1276"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851" w:type="dxa"/>
            <w:vMerge w:val="restart"/>
          </w:tcPr>
          <w:p w:rsidR="006458E7"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ий</w:t>
            </w:r>
          </w:p>
          <w:p w:rsidR="006458E7" w:rsidRPr="00DD2553" w:rsidRDefault="006458E7" w:rsidP="00CA442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6458E7" w:rsidRPr="00DD2553" w:rsidRDefault="006458E7" w:rsidP="00CA442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тыс.м3,</w:t>
            </w:r>
          </w:p>
          <w:p w:rsidR="006458E7" w:rsidRPr="00DD2553" w:rsidRDefault="006458E7" w:rsidP="00CA442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Merge w:val="restart"/>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CA4428">
            <w:pPr>
              <w:pStyle w:val="42"/>
              <w:keepNext/>
              <w:keepLines/>
              <w:shd w:val="clear" w:color="auto" w:fill="auto"/>
              <w:spacing w:before="0" w:after="0" w:line="240" w:lineRule="auto"/>
              <w:jc w:val="center"/>
              <w:rPr>
                <w:sz w:val="16"/>
                <w:szCs w:val="16"/>
              </w:rPr>
            </w:pPr>
          </w:p>
        </w:tc>
        <w:tc>
          <w:tcPr>
            <w:tcW w:w="3402" w:type="dxa"/>
            <w:gridSpan w:val="5"/>
            <w:vAlign w:val="center"/>
          </w:tcPr>
          <w:p w:rsidR="006458E7" w:rsidRPr="00DD2553" w:rsidRDefault="006458E7"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CA4428">
            <w:pPr>
              <w:pStyle w:val="42"/>
              <w:keepNext/>
              <w:keepLines/>
              <w:shd w:val="clear" w:color="auto" w:fill="auto"/>
              <w:spacing w:before="0" w:after="0" w:line="240" w:lineRule="auto"/>
              <w:jc w:val="center"/>
              <w:rPr>
                <w:sz w:val="16"/>
                <w:szCs w:val="16"/>
              </w:rPr>
            </w:pPr>
          </w:p>
        </w:tc>
        <w:tc>
          <w:tcPr>
            <w:tcW w:w="3261" w:type="dxa"/>
            <w:gridSpan w:val="5"/>
            <w:vAlign w:val="center"/>
          </w:tcPr>
          <w:p w:rsidR="006458E7" w:rsidRPr="00DD2553" w:rsidRDefault="006458E7"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CA4428">
            <w:pPr>
              <w:pStyle w:val="42"/>
              <w:keepNext/>
              <w:keepLines/>
              <w:shd w:val="clear" w:color="auto" w:fill="auto"/>
              <w:spacing w:before="0" w:after="0" w:line="240" w:lineRule="auto"/>
              <w:jc w:val="center"/>
              <w:rPr>
                <w:sz w:val="16"/>
                <w:szCs w:val="16"/>
              </w:rPr>
            </w:pPr>
          </w:p>
        </w:tc>
        <w:tc>
          <w:tcPr>
            <w:tcW w:w="3119" w:type="dxa"/>
            <w:gridSpan w:val="5"/>
            <w:vAlign w:val="center"/>
          </w:tcPr>
          <w:p w:rsidR="006458E7" w:rsidRPr="00DD2553" w:rsidRDefault="006458E7" w:rsidP="00CA442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6458E7" w:rsidRPr="00DD2553" w:rsidTr="00CA4428">
        <w:trPr>
          <w:cantSplit/>
          <w:trHeight w:val="1134"/>
        </w:trPr>
        <w:tc>
          <w:tcPr>
            <w:tcW w:w="1276"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851"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850"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709"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850" w:type="dxa"/>
          </w:tcPr>
          <w:p w:rsidR="006458E7" w:rsidRPr="00DD2553" w:rsidRDefault="006458E7"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CA442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6458E7" w:rsidRPr="00DD2553" w:rsidRDefault="006458E7" w:rsidP="00CA442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6458E7" w:rsidRPr="00DD2553" w:rsidRDefault="006458E7" w:rsidP="00CA442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851" w:type="dxa"/>
          </w:tcPr>
          <w:p w:rsidR="006458E7" w:rsidRPr="00DD2553" w:rsidRDefault="006458E7"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CA442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6458E7" w:rsidRPr="00DD2553" w:rsidRDefault="006458E7" w:rsidP="00CA4428">
            <w:pPr>
              <w:pStyle w:val="42"/>
              <w:keepNext/>
              <w:keepLines/>
              <w:shd w:val="clear" w:color="auto" w:fill="auto"/>
              <w:spacing w:before="0" w:after="0" w:line="240" w:lineRule="auto"/>
              <w:jc w:val="right"/>
              <w:rPr>
                <w:sz w:val="16"/>
                <w:szCs w:val="16"/>
              </w:rPr>
            </w:pPr>
          </w:p>
        </w:tc>
        <w:tc>
          <w:tcPr>
            <w:tcW w:w="709" w:type="dxa"/>
          </w:tcPr>
          <w:p w:rsidR="006458E7" w:rsidRPr="00DD2553" w:rsidRDefault="006458E7" w:rsidP="00CA442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CA442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CA442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CA442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CA442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6458E7" w:rsidTr="00CA4428">
        <w:tc>
          <w:tcPr>
            <w:tcW w:w="1276" w:type="dxa"/>
          </w:tcPr>
          <w:p w:rsidR="006458E7" w:rsidRPr="00DD2553" w:rsidRDefault="006458E7" w:rsidP="00CA442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vAlign w:val="center"/>
          </w:tcPr>
          <w:p w:rsidR="006458E7" w:rsidRPr="001619C2" w:rsidRDefault="006458E7" w:rsidP="00CA4428">
            <w:pPr>
              <w:pStyle w:val="42"/>
              <w:keepNext/>
              <w:keepLines/>
              <w:shd w:val="clear" w:color="auto" w:fill="auto"/>
              <w:spacing w:before="0" w:after="0" w:line="240" w:lineRule="auto"/>
              <w:jc w:val="center"/>
              <w:rPr>
                <w:sz w:val="16"/>
                <w:szCs w:val="16"/>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CA442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5"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vAlign w:val="center"/>
          </w:tcPr>
          <w:p w:rsidR="006458E7" w:rsidRPr="001619C2" w:rsidRDefault="006458E7" w:rsidP="00CA4428">
            <w:pPr>
              <w:pStyle w:val="42"/>
              <w:keepNext/>
              <w:keepLines/>
              <w:shd w:val="clear" w:color="auto" w:fill="auto"/>
              <w:spacing w:before="0" w:after="0" w:line="240" w:lineRule="auto"/>
              <w:rPr>
                <w:sz w:val="16"/>
                <w:szCs w:val="16"/>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vAlign w:val="center"/>
          </w:tcPr>
          <w:p w:rsidR="006458E7" w:rsidRPr="00B04ECB" w:rsidRDefault="006458E7" w:rsidP="00CA4428">
            <w:pPr>
              <w:pStyle w:val="42"/>
              <w:keepNext/>
              <w:keepLines/>
              <w:shd w:val="clear" w:color="auto" w:fill="auto"/>
              <w:spacing w:before="0" w:after="0" w:line="240" w:lineRule="auto"/>
              <w:jc w:val="center"/>
              <w:rPr>
                <w:sz w:val="16"/>
                <w:szCs w:val="16"/>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8C60B2" w:rsidRDefault="006458E7" w:rsidP="00CA442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vAlign w:val="center"/>
          </w:tcPr>
          <w:p w:rsidR="006458E7" w:rsidRPr="000A4778" w:rsidRDefault="006458E7" w:rsidP="00CA4428">
            <w:pPr>
              <w:pStyle w:val="42"/>
              <w:keepNext/>
              <w:keepLines/>
              <w:shd w:val="clear" w:color="auto" w:fill="auto"/>
              <w:spacing w:before="0" w:after="0" w:line="240" w:lineRule="auto"/>
              <w:jc w:val="center"/>
              <w:rPr>
                <w:b w:val="0"/>
                <w:sz w:val="16"/>
                <w:szCs w:val="16"/>
                <w:lang w:val="en-US"/>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5"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p w:rsidR="006458E7" w:rsidRDefault="006458E7" w:rsidP="00CA4428"/>
          <w:p w:rsidR="006458E7" w:rsidRDefault="006458E7" w:rsidP="00CA4428"/>
          <w:p w:rsidR="006458E7" w:rsidRPr="000A4778" w:rsidRDefault="006458E7" w:rsidP="00CA4428">
            <w:pPr>
              <w:rPr>
                <w:lang w:val="en-US"/>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p w:rsidR="006458E7" w:rsidRDefault="006458E7" w:rsidP="00CA4428"/>
          <w:p w:rsidR="006458E7" w:rsidRDefault="006458E7" w:rsidP="00CA4428"/>
          <w:p w:rsidR="006458E7" w:rsidRPr="001619C2" w:rsidRDefault="006458E7" w:rsidP="00CA4428">
            <w:pPr>
              <w:jc w:val="center"/>
              <w:rPr>
                <w:rFonts w:ascii="Times New Roman" w:hAnsi="Times New Roman" w:cs="Times New Roman"/>
                <w:sz w:val="16"/>
                <w:szCs w:val="16"/>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p w:rsidR="006458E7" w:rsidRDefault="006458E7" w:rsidP="00CA4428"/>
          <w:p w:rsidR="006458E7" w:rsidRDefault="006458E7" w:rsidP="00CA4428"/>
          <w:p w:rsidR="006458E7" w:rsidRPr="000A4778" w:rsidRDefault="006458E7" w:rsidP="00CA4428">
            <w:pPr>
              <w:jc w:val="center"/>
              <w:rPr>
                <w:rFonts w:ascii="Times New Roman" w:hAnsi="Times New Roman" w:cs="Times New Roman"/>
                <w:sz w:val="16"/>
                <w:szCs w:val="16"/>
                <w:lang w:val="en-US"/>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AD7882" w:rsidRDefault="006458E7" w:rsidP="00CA442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vAlign w:val="center"/>
          </w:tcPr>
          <w:p w:rsidR="006458E7" w:rsidRPr="00AD7882" w:rsidRDefault="006458E7" w:rsidP="00CA4428">
            <w:pPr>
              <w:pStyle w:val="42"/>
              <w:keepNext/>
              <w:keepLines/>
              <w:shd w:val="clear" w:color="auto" w:fill="auto"/>
              <w:spacing w:before="0" w:after="0" w:line="240" w:lineRule="auto"/>
              <w:jc w:val="center"/>
              <w:rPr>
                <w:b w:val="0"/>
                <w:sz w:val="16"/>
                <w:szCs w:val="16"/>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CA4428">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5"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DD2553" w:rsidRDefault="006458E7" w:rsidP="00CA442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vAlign w:val="center"/>
          </w:tcPr>
          <w:p w:rsidR="006458E7" w:rsidRDefault="006458E7" w:rsidP="00CA4428">
            <w:pPr>
              <w:pStyle w:val="42"/>
              <w:keepNext/>
              <w:keepLines/>
              <w:shd w:val="clear" w:color="auto" w:fill="auto"/>
              <w:spacing w:before="0" w:after="0" w:line="240" w:lineRule="auto"/>
              <w:jc w:val="center"/>
              <w:rPr>
                <w:sz w:val="24"/>
                <w:szCs w:val="24"/>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rPr>
          <w:trHeight w:val="480"/>
        </w:trPr>
        <w:tc>
          <w:tcPr>
            <w:tcW w:w="1276" w:type="dxa"/>
            <w:tcBorders>
              <w:bottom w:val="single" w:sz="4" w:space="0" w:color="auto"/>
            </w:tcBorders>
          </w:tcPr>
          <w:p w:rsidR="006458E7" w:rsidRPr="00E964E5" w:rsidRDefault="006458E7" w:rsidP="00CA4428">
            <w:pPr>
              <w:pStyle w:val="42"/>
              <w:keepNext/>
              <w:keepLines/>
              <w:spacing w:before="0" w:after="0" w:line="240" w:lineRule="auto"/>
              <w:jc w:val="left"/>
              <w:rPr>
                <w:b w:val="0"/>
                <w:sz w:val="16"/>
                <w:szCs w:val="16"/>
              </w:rPr>
            </w:pPr>
            <w:r>
              <w:rPr>
                <w:b w:val="0"/>
                <w:sz w:val="16"/>
                <w:szCs w:val="16"/>
              </w:rPr>
              <w:t xml:space="preserve">Приобретение жаровых труб </w:t>
            </w:r>
            <w:r>
              <w:rPr>
                <w:b w:val="0"/>
                <w:sz w:val="16"/>
                <w:szCs w:val="16"/>
                <w:lang w:val="en-US"/>
              </w:rPr>
              <w:t>d</w:t>
            </w:r>
            <w:r>
              <w:rPr>
                <w:b w:val="0"/>
                <w:sz w:val="16"/>
                <w:szCs w:val="16"/>
              </w:rPr>
              <w:t>=57мм в количестве 40 шт., для котла КСВ 2.0 в котельной № 4</w:t>
            </w:r>
          </w:p>
        </w:tc>
        <w:tc>
          <w:tcPr>
            <w:tcW w:w="567" w:type="dxa"/>
            <w:tcBorders>
              <w:bottom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rPr>
          <w:trHeight w:val="630"/>
        </w:trPr>
        <w:tc>
          <w:tcPr>
            <w:tcW w:w="1276" w:type="dxa"/>
            <w:tcBorders>
              <w:top w:val="single" w:sz="4" w:space="0" w:color="auto"/>
            </w:tcBorders>
          </w:tcPr>
          <w:p w:rsidR="006458E7" w:rsidRDefault="006458E7" w:rsidP="00CA442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Default="006458E7" w:rsidP="00CA442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DD2553" w:rsidRDefault="006458E7" w:rsidP="00CA442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CA4428">
            <w:pPr>
              <w:pStyle w:val="42"/>
              <w:keepNext/>
              <w:keepLines/>
              <w:shd w:val="clear" w:color="auto" w:fill="auto"/>
              <w:spacing w:before="0" w:after="0" w:line="240" w:lineRule="auto"/>
              <w:jc w:val="center"/>
              <w:rPr>
                <w:sz w:val="16"/>
                <w:szCs w:val="16"/>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DD2553" w:rsidRDefault="006458E7" w:rsidP="00CA442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Pr="00DD2553">
              <w:rPr>
                <w:rStyle w:val="28pt"/>
                <w:rFonts w:eastAsiaTheme="minorEastAsia"/>
                <w:b w:val="0"/>
              </w:rPr>
              <w:t>котельной № 4</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r w:rsidR="006458E7" w:rsidTr="00CA4428">
        <w:tc>
          <w:tcPr>
            <w:tcW w:w="1276" w:type="dxa"/>
          </w:tcPr>
          <w:p w:rsidR="006458E7" w:rsidRPr="00DD2553" w:rsidRDefault="006458E7" w:rsidP="00CA442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567"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CA442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c>
          <w:tcPr>
            <w:tcW w:w="850"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9" w:type="dxa"/>
          </w:tcPr>
          <w:p w:rsidR="006458E7" w:rsidRDefault="006458E7" w:rsidP="00CA4428">
            <w:pPr>
              <w:pStyle w:val="42"/>
              <w:keepNext/>
              <w:keepLines/>
              <w:shd w:val="clear" w:color="auto" w:fill="auto"/>
              <w:spacing w:before="0" w:after="0" w:line="240" w:lineRule="auto"/>
              <w:jc w:val="right"/>
              <w:rPr>
                <w:sz w:val="24"/>
                <w:szCs w:val="24"/>
              </w:rPr>
            </w:pPr>
          </w:p>
        </w:tc>
        <w:tc>
          <w:tcPr>
            <w:tcW w:w="708" w:type="dxa"/>
          </w:tcPr>
          <w:p w:rsidR="006458E7" w:rsidRDefault="006458E7" w:rsidP="00CA4428">
            <w:pPr>
              <w:pStyle w:val="42"/>
              <w:keepNext/>
              <w:keepLines/>
              <w:shd w:val="clear" w:color="auto" w:fill="auto"/>
              <w:spacing w:before="0" w:after="0" w:line="240" w:lineRule="auto"/>
              <w:jc w:val="right"/>
              <w:rPr>
                <w:sz w:val="24"/>
                <w:szCs w:val="24"/>
              </w:rPr>
            </w:pPr>
          </w:p>
        </w:tc>
        <w:tc>
          <w:tcPr>
            <w:tcW w:w="567" w:type="dxa"/>
          </w:tcPr>
          <w:p w:rsidR="006458E7" w:rsidRDefault="006458E7" w:rsidP="00CA4428">
            <w:pPr>
              <w:pStyle w:val="42"/>
              <w:keepNext/>
              <w:keepLines/>
              <w:shd w:val="clear" w:color="auto" w:fill="auto"/>
              <w:spacing w:before="0" w:after="0" w:line="240" w:lineRule="auto"/>
              <w:jc w:val="right"/>
              <w:rPr>
                <w:sz w:val="24"/>
                <w:szCs w:val="24"/>
              </w:rPr>
            </w:pPr>
          </w:p>
        </w:tc>
        <w:tc>
          <w:tcPr>
            <w:tcW w:w="426" w:type="dxa"/>
          </w:tcPr>
          <w:p w:rsidR="006458E7" w:rsidRDefault="006458E7" w:rsidP="00CA4428">
            <w:pPr>
              <w:pStyle w:val="42"/>
              <w:keepNext/>
              <w:keepLines/>
              <w:shd w:val="clear" w:color="auto" w:fill="auto"/>
              <w:spacing w:before="0" w:after="0" w:line="240" w:lineRule="auto"/>
              <w:jc w:val="right"/>
              <w:rPr>
                <w:sz w:val="24"/>
                <w:szCs w:val="24"/>
              </w:rPr>
            </w:pPr>
          </w:p>
        </w:tc>
      </w:tr>
    </w:tbl>
    <w:p w:rsidR="006458E7" w:rsidRDefault="006458E7" w:rsidP="006458E7">
      <w:pPr>
        <w:pStyle w:val="26"/>
        <w:keepNext/>
        <w:keepLines/>
        <w:shd w:val="clear" w:color="auto" w:fill="auto"/>
        <w:spacing w:after="0" w:line="240" w:lineRule="auto"/>
        <w:ind w:firstLine="0"/>
        <w:jc w:val="left"/>
        <w:rPr>
          <w:sz w:val="24"/>
          <w:szCs w:val="24"/>
        </w:rPr>
        <w:sectPr w:rsidR="006458E7" w:rsidSect="006458E7">
          <w:pgSz w:w="16840" w:h="11900" w:orient="landscape"/>
          <w:pgMar w:top="851" w:right="851" w:bottom="1247" w:left="851" w:header="0" w:footer="6" w:gutter="0"/>
          <w:cols w:space="720"/>
          <w:noEndnote/>
          <w:docGrid w:linePitch="360"/>
        </w:sectPr>
      </w:pPr>
    </w:p>
    <w:p w:rsidR="00DD2553" w:rsidRPr="00986F34" w:rsidRDefault="009F75CE" w:rsidP="006458E7">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CD3A83" w:rsidTr="00722660">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2019</w:t>
            </w:r>
            <w:r w:rsidR="00CD3A83">
              <w:rPr>
                <w:rFonts w:ascii="Times New Roman" w:hAnsi="Times New Roman" w:cs="Times New Roman"/>
                <w:sz w:val="24"/>
                <w:szCs w:val="24"/>
              </w:rPr>
              <w:t xml:space="preserve"> год</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CD3A83" w:rsidRDefault="002D2451" w:rsidP="00722660">
            <w:pPr>
              <w:spacing w:line="254" w:lineRule="exact"/>
              <w:rPr>
                <w:rStyle w:val="24"/>
                <w:rFonts w:eastAsiaTheme="minorEastAsia"/>
              </w:rPr>
            </w:pPr>
            <w:r>
              <w:rPr>
                <w:rStyle w:val="24"/>
                <w:rFonts w:eastAsiaTheme="minorEastAsia"/>
              </w:rPr>
              <w:t>Приобретение насоса</w:t>
            </w:r>
            <w:r w:rsidR="00CD3A83">
              <w:rPr>
                <w:rStyle w:val="24"/>
                <w:rFonts w:eastAsiaTheme="minorEastAsia"/>
              </w:rPr>
              <w:t>:</w:t>
            </w:r>
          </w:p>
          <w:p w:rsidR="00CD3A83" w:rsidRDefault="00CD3A83" w:rsidP="00722660">
            <w:pPr>
              <w:spacing w:line="254" w:lineRule="exact"/>
              <w:rPr>
                <w:rStyle w:val="24"/>
                <w:rFonts w:eastAsiaTheme="minorEastAsia"/>
              </w:rPr>
            </w:pPr>
            <w:r>
              <w:rPr>
                <w:rStyle w:val="24"/>
                <w:rFonts w:eastAsiaTheme="minorEastAsia"/>
              </w:rPr>
              <w:t>- ЭЦВ 6-10-80 – 1шт.</w:t>
            </w:r>
          </w:p>
          <w:p w:rsidR="00CD3A83" w:rsidRPr="00DD2553" w:rsidRDefault="002D2451" w:rsidP="00722660">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w:t>
            </w:r>
            <w:r w:rsidR="00CD3A83">
              <w:rPr>
                <w:rStyle w:val="24"/>
                <w:rFonts w:eastAsiaTheme="minorEastAsia"/>
              </w:rPr>
              <w:t xml:space="preserve"> – 1 шт.</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tc>
        <w:tc>
          <w:tcPr>
            <w:tcW w:w="2964" w:type="dxa"/>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CD3A83" w:rsidRDefault="00CD3A83" w:rsidP="009F4F8E">
            <w:pPr>
              <w:spacing w:line="240" w:lineRule="exact"/>
              <w:rPr>
                <w:rFonts w:ascii="Times New Roman" w:hAnsi="Times New Roman" w:cs="Times New Roman"/>
                <w:sz w:val="24"/>
                <w:szCs w:val="24"/>
              </w:rPr>
            </w:pPr>
            <w:r>
              <w:rPr>
                <w:rFonts w:ascii="Times New Roman" w:hAnsi="Times New Roman" w:cs="Times New Roman"/>
                <w:sz w:val="24"/>
                <w:szCs w:val="24"/>
              </w:rPr>
              <w:t>Пр</w:t>
            </w:r>
            <w:r w:rsidR="002D2451">
              <w:rPr>
                <w:rFonts w:ascii="Times New Roman" w:hAnsi="Times New Roman" w:cs="Times New Roman"/>
                <w:sz w:val="24"/>
                <w:szCs w:val="24"/>
              </w:rPr>
              <w:t>иобретение и установка счетчика</w:t>
            </w:r>
            <w:r>
              <w:rPr>
                <w:rFonts w:ascii="Times New Roman" w:hAnsi="Times New Roman" w:cs="Times New Roman"/>
                <w:sz w:val="24"/>
                <w:szCs w:val="24"/>
              </w:rPr>
              <w:t xml:space="preserve"> холодной воды Ø 50мм на </w:t>
            </w:r>
            <w:r w:rsidR="009F4F8E">
              <w:rPr>
                <w:rFonts w:ascii="Times New Roman" w:hAnsi="Times New Roman" w:cs="Times New Roman"/>
                <w:sz w:val="24"/>
                <w:szCs w:val="24"/>
              </w:rPr>
              <w:t xml:space="preserve">подъем и подачу в распределительную </w:t>
            </w:r>
            <w:r>
              <w:rPr>
                <w:rFonts w:ascii="Times New Roman" w:hAnsi="Times New Roman" w:cs="Times New Roman"/>
                <w:sz w:val="24"/>
                <w:szCs w:val="24"/>
              </w:rPr>
              <w:t>сеть</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58,4</w:t>
            </w:r>
          </w:p>
        </w:tc>
        <w:tc>
          <w:tcPr>
            <w:tcW w:w="2964"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130,4</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2D2451">
        <w:rPr>
          <w:rFonts w:ascii="Times New Roman" w:hAnsi="Times New Roman" w:cs="Times New Roman"/>
          <w:sz w:val="24"/>
          <w:szCs w:val="24"/>
        </w:rPr>
        <w:t>ля проведения мероприятий в 2019</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бжения, составляют в размере 130,4</w:t>
      </w:r>
      <w:r>
        <w:rPr>
          <w:rFonts w:ascii="Times New Roman" w:hAnsi="Times New Roman" w:cs="Times New Roman"/>
          <w:sz w:val="24"/>
          <w:szCs w:val="24"/>
        </w:rPr>
        <w:t xml:space="preserve"> тыс. руб.</w:t>
      </w:r>
    </w:p>
    <w:p w:rsidR="00DD2553" w:rsidRDefault="00CD3A83"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обеспечивающие финансирование мероприятий: м</w:t>
      </w:r>
      <w:r w:rsidRPr="008D46D1">
        <w:rPr>
          <w:rFonts w:ascii="Times New Roman" w:hAnsi="Times New Roman" w:cs="Times New Roman"/>
          <w:sz w:val="24"/>
          <w:szCs w:val="24"/>
        </w:rPr>
        <w:t>естны</w:t>
      </w:r>
      <w:r>
        <w:rPr>
          <w:rFonts w:ascii="Times New Roman" w:hAnsi="Times New Roman" w:cs="Times New Roman"/>
          <w:sz w:val="24"/>
          <w:szCs w:val="24"/>
        </w:rPr>
        <w:t>й бюджет м</w:t>
      </w:r>
      <w:r w:rsidRPr="008D46D1">
        <w:rPr>
          <w:rFonts w:ascii="Times New Roman" w:hAnsi="Times New Roman" w:cs="Times New Roman"/>
          <w:sz w:val="24"/>
          <w:szCs w:val="24"/>
        </w:rPr>
        <w:t>униципальн</w:t>
      </w:r>
      <w:r>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w:t>
      </w:r>
      <w:r w:rsidRPr="00DD2553">
        <w:rPr>
          <w:rFonts w:ascii="Times New Roman" w:hAnsi="Times New Roman" w:cs="Times New Roman"/>
          <w:sz w:val="24"/>
          <w:szCs w:val="24"/>
        </w:rPr>
        <w:lastRenderedPageBreak/>
        <w:t>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747172" w:rsidRDefault="00747172" w:rsidP="00747172">
      <w:pPr>
        <w:spacing w:after="6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CD4FC8" w:rsidTr="00CD4FC8">
        <w:trPr>
          <w:trHeight w:val="586"/>
        </w:trPr>
        <w:tc>
          <w:tcPr>
            <w:tcW w:w="568" w:type="dxa"/>
            <w:vAlign w:val="center"/>
          </w:tcPr>
          <w:p w:rsidR="00CD4FC8" w:rsidRDefault="00CD4FC8" w:rsidP="00CA4428">
            <w:pPr>
              <w:jc w:val="center"/>
              <w:rPr>
                <w:rFonts w:ascii="Times New Roman" w:hAnsi="Times New Roman" w:cs="Times New Roman"/>
              </w:rPr>
            </w:pPr>
            <w:r>
              <w:rPr>
                <w:rFonts w:ascii="Times New Roman" w:hAnsi="Times New Roman" w:cs="Times New Roman"/>
              </w:rPr>
              <w:t>№ п/п</w:t>
            </w:r>
          </w:p>
          <w:p w:rsidR="00CD4FC8" w:rsidRDefault="00CD4FC8" w:rsidP="00CA4428">
            <w:pPr>
              <w:jc w:val="center"/>
              <w:rPr>
                <w:rFonts w:ascii="Times New Roman" w:hAnsi="Times New Roman" w:cs="Times New Roman"/>
              </w:rPr>
            </w:pPr>
          </w:p>
          <w:p w:rsidR="00CD4FC8" w:rsidRPr="00DD2553" w:rsidRDefault="00CD4FC8" w:rsidP="00CA4428">
            <w:pPr>
              <w:jc w:val="center"/>
              <w:rPr>
                <w:rFonts w:ascii="Times New Roman" w:hAnsi="Times New Roman" w:cs="Times New Roman"/>
              </w:rPr>
            </w:pPr>
          </w:p>
        </w:tc>
        <w:tc>
          <w:tcPr>
            <w:tcW w:w="3686" w:type="dxa"/>
            <w:vAlign w:val="center"/>
          </w:tcPr>
          <w:p w:rsidR="00CD4FC8" w:rsidRPr="00DD2553" w:rsidRDefault="00CD4FC8" w:rsidP="00CA4428">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CD4FC8" w:rsidRPr="00DD2553" w:rsidRDefault="00CD4FC8" w:rsidP="00CA4428">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CD4FC8" w:rsidRDefault="00CD4FC8" w:rsidP="00CA4428">
            <w:pPr>
              <w:jc w:val="center"/>
              <w:rPr>
                <w:rFonts w:ascii="Times New Roman" w:hAnsi="Times New Roman" w:cs="Times New Roman"/>
              </w:rPr>
            </w:pPr>
            <w:r>
              <w:rPr>
                <w:rFonts w:ascii="Times New Roman" w:hAnsi="Times New Roman" w:cs="Times New Roman"/>
              </w:rPr>
              <w:t xml:space="preserve">Стоимость, </w:t>
            </w:r>
          </w:p>
          <w:p w:rsidR="00CD4FC8" w:rsidRPr="00DD2553" w:rsidRDefault="00CD4FC8" w:rsidP="00CA4428">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CD4FC8" w:rsidRPr="00DD2553" w:rsidRDefault="00CD4FC8" w:rsidP="00CA4428">
            <w:pPr>
              <w:jc w:val="center"/>
              <w:rPr>
                <w:rFonts w:ascii="Times New Roman" w:hAnsi="Times New Roman" w:cs="Times New Roman"/>
              </w:rPr>
            </w:pPr>
            <w:r>
              <w:rPr>
                <w:rFonts w:ascii="Times New Roman" w:hAnsi="Times New Roman" w:cs="Times New Roman"/>
              </w:rPr>
              <w:t>Источники финансирования</w:t>
            </w:r>
          </w:p>
        </w:tc>
      </w:tr>
      <w:tr w:rsidR="00CD4FC8" w:rsidTr="00CD4FC8">
        <w:tc>
          <w:tcPr>
            <w:tcW w:w="10491" w:type="dxa"/>
            <w:gridSpan w:val="5"/>
            <w:vAlign w:val="center"/>
          </w:tcPr>
          <w:p w:rsidR="00CD4FC8" w:rsidRPr="00DD2553" w:rsidRDefault="00CD4FC8" w:rsidP="00CA4428">
            <w:pPr>
              <w:jc w:val="center"/>
              <w:rPr>
                <w:rFonts w:ascii="Times New Roman" w:hAnsi="Times New Roman" w:cs="Times New Roman"/>
                <w:sz w:val="24"/>
                <w:szCs w:val="24"/>
              </w:rPr>
            </w:pPr>
            <w:r>
              <w:rPr>
                <w:rFonts w:ascii="Times New Roman" w:hAnsi="Times New Roman" w:cs="Times New Roman"/>
                <w:sz w:val="24"/>
                <w:szCs w:val="24"/>
              </w:rPr>
              <w:t>2019</w:t>
            </w:r>
            <w:r w:rsidRPr="00DD2553">
              <w:rPr>
                <w:rFonts w:ascii="Times New Roman" w:hAnsi="Times New Roman" w:cs="Times New Roman"/>
                <w:sz w:val="24"/>
                <w:szCs w:val="24"/>
              </w:rPr>
              <w:t xml:space="preserve"> год</w:t>
            </w:r>
          </w:p>
        </w:tc>
      </w:tr>
      <w:tr w:rsidR="00CD4FC8" w:rsidTr="00CD4FC8">
        <w:trPr>
          <w:trHeight w:val="772"/>
        </w:trPr>
        <w:tc>
          <w:tcPr>
            <w:tcW w:w="568" w:type="dxa"/>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CD4FC8" w:rsidRPr="00FF3157" w:rsidRDefault="00CD4FC8" w:rsidP="00CA4428">
            <w:pPr>
              <w:rPr>
                <w:rFonts w:ascii="Times New Roman" w:hAnsi="Times New Roman" w:cs="Times New Roman"/>
                <w:sz w:val="24"/>
                <w:szCs w:val="24"/>
              </w:rPr>
            </w:pPr>
            <w:r>
              <w:rPr>
                <w:rFonts w:ascii="Times New Roman" w:hAnsi="Times New Roman" w:cs="Times New Roman"/>
                <w:sz w:val="24"/>
                <w:szCs w:val="24"/>
              </w:rPr>
              <w:t xml:space="preserve">Приобретение жаровых труб </w:t>
            </w:r>
            <w:r>
              <w:rPr>
                <w:rFonts w:ascii="Times New Roman" w:hAnsi="Times New Roman" w:cs="Times New Roman"/>
                <w:sz w:val="24"/>
                <w:szCs w:val="24"/>
                <w:lang w:val="en-US"/>
              </w:rPr>
              <w:t>d</w:t>
            </w:r>
            <w:r>
              <w:rPr>
                <w:rFonts w:ascii="Times New Roman" w:hAnsi="Times New Roman" w:cs="Times New Roman"/>
                <w:sz w:val="24"/>
                <w:szCs w:val="24"/>
              </w:rPr>
              <w:t>=57мм для котла КСВ-2.</w:t>
            </w:r>
            <w:r w:rsidRPr="00FF3157">
              <w:rPr>
                <w:rFonts w:ascii="Times New Roman" w:hAnsi="Times New Roman" w:cs="Times New Roman"/>
                <w:sz w:val="24"/>
                <w:szCs w:val="24"/>
              </w:rPr>
              <w:t>0</w:t>
            </w:r>
            <w:r>
              <w:rPr>
                <w:rFonts w:ascii="Times New Roman" w:hAnsi="Times New Roman" w:cs="Times New Roman"/>
                <w:sz w:val="24"/>
                <w:szCs w:val="24"/>
              </w:rPr>
              <w:t xml:space="preserve"> в котельной №4</w:t>
            </w:r>
          </w:p>
        </w:tc>
        <w:tc>
          <w:tcPr>
            <w:tcW w:w="1842" w:type="dxa"/>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40 шт.</w:t>
            </w:r>
          </w:p>
        </w:tc>
        <w:tc>
          <w:tcPr>
            <w:tcW w:w="1418" w:type="dxa"/>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50,0</w:t>
            </w:r>
          </w:p>
        </w:tc>
        <w:tc>
          <w:tcPr>
            <w:tcW w:w="2977" w:type="dxa"/>
            <w:vAlign w:val="center"/>
          </w:tcPr>
          <w:p w:rsidR="00CD4FC8" w:rsidRPr="00DD2553" w:rsidRDefault="00CD4FC8"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4FC8" w:rsidTr="00CD4FC8">
        <w:tc>
          <w:tcPr>
            <w:tcW w:w="568" w:type="dxa"/>
            <w:vAlign w:val="center"/>
          </w:tcPr>
          <w:p w:rsidR="00CD4FC8" w:rsidRPr="00DA48C7" w:rsidRDefault="00CD4FC8" w:rsidP="00CA4428">
            <w:pPr>
              <w:jc w:val="center"/>
              <w:rPr>
                <w:rFonts w:ascii="Times New Roman" w:hAnsi="Times New Roman" w:cs="Times New Roman"/>
                <w:sz w:val="24"/>
                <w:szCs w:val="24"/>
                <w:highlight w:val="yellow"/>
              </w:rPr>
            </w:pPr>
            <w:r w:rsidRPr="00AA23D2">
              <w:rPr>
                <w:rFonts w:ascii="Times New Roman" w:hAnsi="Times New Roman" w:cs="Times New Roman"/>
                <w:sz w:val="24"/>
                <w:szCs w:val="24"/>
              </w:rPr>
              <w:t>2.</w:t>
            </w:r>
          </w:p>
        </w:tc>
        <w:tc>
          <w:tcPr>
            <w:tcW w:w="3686" w:type="dxa"/>
            <w:vAlign w:val="center"/>
          </w:tcPr>
          <w:p w:rsidR="00CD4FC8" w:rsidRPr="00DA48C7" w:rsidRDefault="00CD4FC8" w:rsidP="00CA4428">
            <w:pPr>
              <w:rPr>
                <w:rFonts w:ascii="Times New Roman" w:hAnsi="Times New Roman" w:cs="Times New Roman"/>
                <w:color w:val="000000"/>
                <w:sz w:val="24"/>
                <w:szCs w:val="24"/>
                <w:highlight w:val="yellow"/>
                <w:shd w:val="clear" w:color="auto" w:fill="FFFFFF"/>
                <w:lang w:bidi="ru-RU"/>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4</w:t>
            </w:r>
          </w:p>
        </w:tc>
        <w:tc>
          <w:tcPr>
            <w:tcW w:w="1842" w:type="dxa"/>
            <w:vAlign w:val="center"/>
          </w:tcPr>
          <w:p w:rsidR="00CD4FC8" w:rsidRPr="00DA48C7" w:rsidRDefault="00CD4FC8" w:rsidP="00CA4428">
            <w:pPr>
              <w:jc w:val="center"/>
              <w:rPr>
                <w:rFonts w:ascii="Times New Roman" w:hAnsi="Times New Roman" w:cs="Times New Roman"/>
                <w:sz w:val="24"/>
                <w:szCs w:val="24"/>
                <w:highlight w:val="yellow"/>
              </w:rPr>
            </w:pPr>
            <w:r w:rsidRPr="001619C2">
              <w:rPr>
                <w:rFonts w:ascii="Times New Roman" w:hAnsi="Times New Roman" w:cs="Times New Roman"/>
                <w:sz w:val="24"/>
                <w:szCs w:val="24"/>
              </w:rPr>
              <w:t>1 шт.</w:t>
            </w:r>
          </w:p>
        </w:tc>
        <w:tc>
          <w:tcPr>
            <w:tcW w:w="1418" w:type="dxa"/>
            <w:vAlign w:val="center"/>
          </w:tcPr>
          <w:p w:rsidR="00CD4FC8" w:rsidRPr="00DA48C7" w:rsidRDefault="00CD4FC8" w:rsidP="00CA4428">
            <w:pPr>
              <w:jc w:val="center"/>
              <w:rPr>
                <w:rFonts w:ascii="Times New Roman" w:hAnsi="Times New Roman" w:cs="Times New Roman"/>
                <w:sz w:val="24"/>
                <w:szCs w:val="24"/>
                <w:highlight w:val="yellow"/>
              </w:rPr>
            </w:pPr>
            <w:r>
              <w:rPr>
                <w:rFonts w:ascii="Times New Roman" w:hAnsi="Times New Roman" w:cs="Times New Roman"/>
                <w:sz w:val="24"/>
                <w:szCs w:val="24"/>
              </w:rPr>
              <w:t>224,0</w:t>
            </w:r>
          </w:p>
        </w:tc>
        <w:tc>
          <w:tcPr>
            <w:tcW w:w="2977" w:type="dxa"/>
            <w:vAlign w:val="center"/>
          </w:tcPr>
          <w:p w:rsidR="00CD4FC8" w:rsidRPr="00DA48C7" w:rsidRDefault="00CD4FC8" w:rsidP="00CA4428">
            <w:pPr>
              <w:jc w:val="center"/>
              <w:rPr>
                <w:rFonts w:ascii="Times New Roman" w:hAnsi="Times New Roman" w:cs="Times New Roman"/>
                <w:sz w:val="20"/>
                <w:szCs w:val="20"/>
                <w:highlight w:val="yellow"/>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4FC8" w:rsidTr="00CD4FC8">
        <w:trPr>
          <w:trHeight w:val="1185"/>
        </w:trPr>
        <w:tc>
          <w:tcPr>
            <w:tcW w:w="568" w:type="dxa"/>
            <w:tcBorders>
              <w:bottom w:val="single" w:sz="4" w:space="0" w:color="auto"/>
            </w:tcBorders>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vAlign w:val="center"/>
          </w:tcPr>
          <w:p w:rsidR="00CD4FC8" w:rsidRPr="00FF3157" w:rsidRDefault="00CD4FC8" w:rsidP="00CA4428">
            <w:pPr>
              <w:rPr>
                <w:rFonts w:ascii="Times New Roman" w:hAnsi="Times New Roman" w:cs="Times New Roman"/>
                <w:sz w:val="24"/>
                <w:szCs w:val="24"/>
              </w:rPr>
            </w:pPr>
            <w:r w:rsidRPr="00FF3157">
              <w:rPr>
                <w:rFonts w:ascii="Times New Roman" w:hAnsi="Times New Roman" w:cs="Times New Roman"/>
                <w:sz w:val="24"/>
                <w:szCs w:val="16"/>
              </w:rPr>
              <w:t xml:space="preserve">Приобретение комплекта форсунок производства </w:t>
            </w:r>
            <w:r w:rsidRPr="00FF3157">
              <w:rPr>
                <w:rFonts w:ascii="Times New Roman" w:hAnsi="Times New Roman" w:cs="Times New Roman"/>
                <w:sz w:val="24"/>
                <w:szCs w:val="16"/>
                <w:lang w:val="en-US"/>
              </w:rPr>
              <w:t>Hago</w:t>
            </w:r>
            <w:r w:rsidRPr="00FF3157">
              <w:rPr>
                <w:rFonts w:ascii="Times New Roman" w:hAnsi="Times New Roman" w:cs="Times New Roman"/>
                <w:sz w:val="24"/>
                <w:szCs w:val="16"/>
              </w:rPr>
              <w:t xml:space="preserve">, </w:t>
            </w:r>
            <w:r w:rsidRPr="00FF3157">
              <w:rPr>
                <w:rFonts w:ascii="Times New Roman" w:hAnsi="Times New Roman" w:cs="Times New Roman"/>
                <w:sz w:val="24"/>
                <w:szCs w:val="16"/>
                <w:lang w:val="en-US"/>
              </w:rPr>
              <w:t>Fluidics</w:t>
            </w:r>
            <w:r w:rsidRPr="00FF3157">
              <w:rPr>
                <w:rFonts w:ascii="Times New Roman" w:hAnsi="Times New Roman" w:cs="Times New Roman"/>
                <w:sz w:val="24"/>
                <w:szCs w:val="16"/>
              </w:rPr>
              <w:t xml:space="preserve"> </w:t>
            </w:r>
            <w:r>
              <w:rPr>
                <w:rFonts w:ascii="Times New Roman" w:hAnsi="Times New Roman" w:cs="Times New Roman"/>
                <w:sz w:val="24"/>
                <w:szCs w:val="16"/>
              </w:rPr>
              <w:t xml:space="preserve">для котлов КСВ-2.0, КСВ-1.0 </w:t>
            </w:r>
            <w:r w:rsidRPr="00FF3157">
              <w:rPr>
                <w:rFonts w:ascii="Times New Roman" w:hAnsi="Times New Roman" w:cs="Times New Roman"/>
                <w:sz w:val="24"/>
                <w:szCs w:val="16"/>
              </w:rPr>
              <w:t>на котельную №1, №4</w:t>
            </w:r>
          </w:p>
        </w:tc>
        <w:tc>
          <w:tcPr>
            <w:tcW w:w="1842" w:type="dxa"/>
            <w:tcBorders>
              <w:bottom w:val="single" w:sz="4" w:space="0" w:color="auto"/>
            </w:tcBorders>
            <w:vAlign w:val="center"/>
          </w:tcPr>
          <w:p w:rsidR="00CD4FC8" w:rsidRPr="00FF3157" w:rsidRDefault="00CD4FC8" w:rsidP="00CA4428">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c>
          <w:tcPr>
            <w:tcW w:w="1418" w:type="dxa"/>
            <w:tcBorders>
              <w:bottom w:val="single" w:sz="4" w:space="0" w:color="auto"/>
            </w:tcBorders>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20,0</w:t>
            </w:r>
          </w:p>
        </w:tc>
        <w:tc>
          <w:tcPr>
            <w:tcW w:w="2977" w:type="dxa"/>
            <w:tcBorders>
              <w:bottom w:val="single" w:sz="4" w:space="0" w:color="auto"/>
            </w:tcBorders>
            <w:vAlign w:val="center"/>
          </w:tcPr>
          <w:p w:rsidR="00CD4FC8" w:rsidRPr="00DD2553" w:rsidRDefault="00CD4FC8"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4FC8" w:rsidTr="00CD4FC8">
        <w:trPr>
          <w:trHeight w:val="300"/>
        </w:trPr>
        <w:tc>
          <w:tcPr>
            <w:tcW w:w="568" w:type="dxa"/>
            <w:tcBorders>
              <w:top w:val="single" w:sz="4" w:space="0" w:color="auto"/>
              <w:bottom w:val="single" w:sz="4" w:space="0" w:color="auto"/>
            </w:tcBorders>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bottom w:val="single" w:sz="4" w:space="0" w:color="auto"/>
            </w:tcBorders>
            <w:vAlign w:val="center"/>
          </w:tcPr>
          <w:p w:rsidR="00CD4FC8" w:rsidRPr="008E6ECD" w:rsidRDefault="00CD4FC8" w:rsidP="00CA4428">
            <w:pPr>
              <w:rPr>
                <w:rFonts w:ascii="Times New Roman" w:hAnsi="Times New Roman" w:cs="Times New Roman"/>
                <w:sz w:val="24"/>
                <w:szCs w:val="16"/>
              </w:rPr>
            </w:pPr>
            <w:r>
              <w:rPr>
                <w:rFonts w:ascii="Times New Roman" w:hAnsi="Times New Roman" w:cs="Times New Roman"/>
                <w:sz w:val="24"/>
                <w:szCs w:val="16"/>
              </w:rPr>
              <w:t xml:space="preserve">Приобретение водогазопроводных труб </w:t>
            </w:r>
            <w:r>
              <w:rPr>
                <w:rFonts w:ascii="Times New Roman" w:hAnsi="Times New Roman" w:cs="Times New Roman"/>
                <w:sz w:val="24"/>
                <w:szCs w:val="16"/>
                <w:lang w:val="en-US"/>
              </w:rPr>
              <w:t>d</w:t>
            </w:r>
            <w:r>
              <w:rPr>
                <w:rFonts w:ascii="Times New Roman" w:hAnsi="Times New Roman" w:cs="Times New Roman"/>
                <w:sz w:val="24"/>
                <w:szCs w:val="16"/>
              </w:rPr>
              <w:t>=25; 32; 40мм для подключения новых потребителей, ремонта подводов в помещениях, для подключения системы обогрева емкостей</w:t>
            </w:r>
          </w:p>
        </w:tc>
        <w:tc>
          <w:tcPr>
            <w:tcW w:w="1842" w:type="dxa"/>
            <w:tcBorders>
              <w:top w:val="single" w:sz="4" w:space="0" w:color="auto"/>
              <w:bottom w:val="single" w:sz="4" w:space="0" w:color="auto"/>
            </w:tcBorders>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45 шт.</w:t>
            </w:r>
          </w:p>
        </w:tc>
        <w:tc>
          <w:tcPr>
            <w:tcW w:w="1418" w:type="dxa"/>
            <w:tcBorders>
              <w:top w:val="single" w:sz="4" w:space="0" w:color="auto"/>
              <w:bottom w:val="single" w:sz="4" w:space="0" w:color="auto"/>
            </w:tcBorders>
            <w:vAlign w:val="center"/>
          </w:tcPr>
          <w:p w:rsidR="00CD4FC8" w:rsidRDefault="00CD4FC8" w:rsidP="00CA4428">
            <w:pPr>
              <w:jc w:val="center"/>
              <w:rPr>
                <w:rFonts w:ascii="Times New Roman" w:hAnsi="Times New Roman" w:cs="Times New Roman"/>
                <w:sz w:val="24"/>
                <w:szCs w:val="24"/>
              </w:rPr>
            </w:pPr>
            <w:r>
              <w:rPr>
                <w:rFonts w:ascii="Times New Roman" w:hAnsi="Times New Roman" w:cs="Times New Roman"/>
                <w:sz w:val="24"/>
                <w:szCs w:val="24"/>
              </w:rPr>
              <w:t>49,9</w:t>
            </w:r>
          </w:p>
        </w:tc>
        <w:tc>
          <w:tcPr>
            <w:tcW w:w="2977" w:type="dxa"/>
            <w:tcBorders>
              <w:top w:val="single" w:sz="4" w:space="0" w:color="auto"/>
              <w:bottom w:val="single" w:sz="4" w:space="0" w:color="auto"/>
            </w:tcBorders>
            <w:vAlign w:val="center"/>
          </w:tcPr>
          <w:p w:rsidR="00CD4FC8" w:rsidRPr="00AA23D2" w:rsidRDefault="00CD4FC8" w:rsidP="00CA4428">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4FC8" w:rsidTr="00CD4FC8">
        <w:tc>
          <w:tcPr>
            <w:tcW w:w="6096" w:type="dxa"/>
            <w:gridSpan w:val="3"/>
            <w:vAlign w:val="center"/>
          </w:tcPr>
          <w:p w:rsidR="00CD4FC8" w:rsidRDefault="00CD4FC8" w:rsidP="00CA4428">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CD4FC8" w:rsidRPr="00986F34" w:rsidRDefault="00CD4FC8" w:rsidP="00CA4428">
            <w:pPr>
              <w:jc w:val="center"/>
              <w:rPr>
                <w:rFonts w:ascii="Times New Roman" w:hAnsi="Times New Roman" w:cs="Times New Roman"/>
                <w:sz w:val="24"/>
                <w:szCs w:val="24"/>
              </w:rPr>
            </w:pPr>
            <w:r>
              <w:rPr>
                <w:rFonts w:ascii="Times New Roman" w:hAnsi="Times New Roman" w:cs="Times New Roman"/>
                <w:sz w:val="24"/>
                <w:szCs w:val="24"/>
              </w:rPr>
              <w:t>343,90</w:t>
            </w:r>
          </w:p>
        </w:tc>
        <w:tc>
          <w:tcPr>
            <w:tcW w:w="2977" w:type="dxa"/>
          </w:tcPr>
          <w:p w:rsidR="00CD4FC8" w:rsidRPr="00DD2553" w:rsidRDefault="00CD4FC8" w:rsidP="00CA4428">
            <w:pPr>
              <w:jc w:val="center"/>
              <w:rPr>
                <w:rFonts w:ascii="Times New Roman" w:hAnsi="Times New Roman" w:cs="Times New Roman"/>
                <w:sz w:val="20"/>
                <w:szCs w:val="20"/>
              </w:rPr>
            </w:pPr>
          </w:p>
        </w:tc>
      </w:tr>
      <w:tr w:rsidR="00747172" w:rsidTr="00CD4FC8">
        <w:tc>
          <w:tcPr>
            <w:tcW w:w="10491" w:type="dxa"/>
            <w:gridSpan w:val="5"/>
            <w:vAlign w:val="center"/>
          </w:tcPr>
          <w:p w:rsidR="00747172" w:rsidRPr="00DD2553"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747172" w:rsidTr="00CD4FC8">
        <w:trPr>
          <w:trHeight w:val="180"/>
        </w:trPr>
        <w:tc>
          <w:tcPr>
            <w:tcW w:w="568"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bottom w:val="single" w:sz="4" w:space="0" w:color="auto"/>
            </w:tcBorders>
          </w:tcPr>
          <w:p w:rsidR="00747172" w:rsidRDefault="00747172" w:rsidP="000841FB">
            <w:pPr>
              <w:rPr>
                <w:rFonts w:ascii="Times New Roman" w:hAnsi="Times New Roman" w:cs="Times New Roman"/>
                <w:sz w:val="24"/>
                <w:szCs w:val="24"/>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3</w:t>
            </w:r>
          </w:p>
        </w:tc>
        <w:tc>
          <w:tcPr>
            <w:tcW w:w="1842"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CD4FC8">
        <w:trPr>
          <w:trHeight w:val="255"/>
        </w:trPr>
        <w:tc>
          <w:tcPr>
            <w:tcW w:w="10491" w:type="dxa"/>
            <w:gridSpan w:val="5"/>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r w:rsidRPr="003D7118">
              <w:rPr>
                <w:rFonts w:ascii="Times New Roman" w:hAnsi="Times New Roman" w:cs="Times New Roman"/>
                <w:sz w:val="24"/>
                <w:szCs w:val="20"/>
              </w:rPr>
              <w:t>2021 год</w:t>
            </w:r>
          </w:p>
        </w:tc>
      </w:tr>
      <w:tr w:rsidR="00747172" w:rsidTr="00CD4FC8">
        <w:trPr>
          <w:trHeight w:val="180"/>
        </w:trPr>
        <w:tc>
          <w:tcPr>
            <w:tcW w:w="568"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bottom w:val="single" w:sz="4" w:space="0" w:color="auto"/>
            </w:tcBorders>
          </w:tcPr>
          <w:p w:rsidR="00747172" w:rsidRPr="003D7118" w:rsidRDefault="00747172" w:rsidP="000841FB">
            <w:pPr>
              <w:rPr>
                <w:rFonts w:ascii="Times New Roman" w:hAnsi="Times New Roman" w:cs="Times New Roman"/>
                <w:sz w:val="24"/>
                <w:szCs w:val="24"/>
              </w:rPr>
            </w:pPr>
            <w:r w:rsidRPr="003D7118">
              <w:rPr>
                <w:rStyle w:val="28pt"/>
                <w:rFonts w:eastAsiaTheme="minorEastAsia"/>
                <w:sz w:val="24"/>
              </w:rPr>
              <w:t>Капитальный ремонт надземного участка теплотрассы в двухтрубном исполнении, протяженностью 150 м.м. (тепловые сети котельной №3)</w:t>
            </w:r>
          </w:p>
        </w:tc>
        <w:tc>
          <w:tcPr>
            <w:tcW w:w="1842"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CD4FC8">
        <w:trPr>
          <w:trHeight w:val="765"/>
        </w:trPr>
        <w:tc>
          <w:tcPr>
            <w:tcW w:w="568" w:type="dxa"/>
            <w:tcBorders>
              <w:top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tcBorders>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(котельная № 1, ул. Нефтеразведчиков)</w:t>
            </w:r>
          </w:p>
        </w:tc>
        <w:tc>
          <w:tcPr>
            <w:tcW w:w="1842" w:type="dxa"/>
            <w:tcBorders>
              <w:top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CD4FC8">
        <w:tc>
          <w:tcPr>
            <w:tcW w:w="568"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(котельная № 1, ул. Нефтеразведчиков)</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vAlign w:val="center"/>
          </w:tcPr>
          <w:p w:rsidR="00747172" w:rsidRPr="00DD2553" w:rsidRDefault="00747172" w:rsidP="000841FB">
            <w:pPr>
              <w:jc w:val="center"/>
              <w:rPr>
                <w:rFonts w:ascii="Times New Roman" w:hAnsi="Times New Roman" w:cs="Times New Roman"/>
                <w:sz w:val="20"/>
                <w:szCs w:val="20"/>
              </w:rPr>
            </w:pPr>
          </w:p>
        </w:tc>
      </w:tr>
      <w:tr w:rsidR="00747172" w:rsidTr="00CD4FC8">
        <w:tc>
          <w:tcPr>
            <w:tcW w:w="10491" w:type="dxa"/>
            <w:gridSpan w:val="5"/>
            <w:vAlign w:val="center"/>
          </w:tcPr>
          <w:p w:rsidR="00747172" w:rsidRPr="00DD2553" w:rsidRDefault="00747172" w:rsidP="000841FB">
            <w:pPr>
              <w:jc w:val="center"/>
              <w:rPr>
                <w:rFonts w:ascii="Times New Roman" w:hAnsi="Times New Roman" w:cs="Times New Roman"/>
                <w:sz w:val="20"/>
                <w:szCs w:val="20"/>
              </w:rPr>
            </w:pPr>
            <w:r>
              <w:rPr>
                <w:rFonts w:ascii="Times New Roman" w:hAnsi="Times New Roman" w:cs="Times New Roman"/>
                <w:sz w:val="24"/>
                <w:szCs w:val="24"/>
              </w:rPr>
              <w:t>2022-2038 годы</w:t>
            </w:r>
          </w:p>
        </w:tc>
      </w:tr>
      <w:tr w:rsidR="00747172" w:rsidTr="00CD4FC8">
        <w:tc>
          <w:tcPr>
            <w:tcW w:w="568"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tcPr>
          <w:p w:rsidR="00747172" w:rsidRPr="00DD2553" w:rsidRDefault="00747172" w:rsidP="000841FB">
            <w:pPr>
              <w:jc w:val="center"/>
              <w:rPr>
                <w:rFonts w:ascii="Times New Roman" w:hAnsi="Times New Roman" w:cs="Times New Roman"/>
                <w:sz w:val="20"/>
                <w:szCs w:val="20"/>
              </w:rPr>
            </w:pPr>
          </w:p>
        </w:tc>
      </w:tr>
    </w:tbl>
    <w:p w:rsidR="00747172" w:rsidRPr="00986F34" w:rsidRDefault="00747172" w:rsidP="00CD3A83">
      <w:pPr>
        <w:spacing w:after="0" w:line="274" w:lineRule="exact"/>
        <w:ind w:firstLine="284"/>
        <w:jc w:val="both"/>
        <w:rPr>
          <w:rFonts w:ascii="Times New Roman" w:hAnsi="Times New Roman" w:cs="Times New Roman"/>
          <w:sz w:val="24"/>
          <w:szCs w:val="24"/>
        </w:rPr>
      </w:pPr>
    </w:p>
    <w:p w:rsidR="00CD3A83" w:rsidRDefault="00CD3A83" w:rsidP="00DD2553">
      <w:pPr>
        <w:spacing w:after="0" w:line="240" w:lineRule="exact"/>
        <w:ind w:firstLine="284"/>
        <w:jc w:val="both"/>
        <w:rPr>
          <w:rFonts w:ascii="Times New Roman" w:hAnsi="Times New Roman" w:cs="Times New Roman"/>
          <w:b/>
          <w:sz w:val="24"/>
          <w:szCs w:val="24"/>
        </w:rPr>
      </w:pPr>
    </w:p>
    <w:p w:rsidR="00940508" w:rsidRDefault="00940508" w:rsidP="00DD2553">
      <w:pPr>
        <w:spacing w:after="0" w:line="240" w:lineRule="exact"/>
        <w:ind w:firstLine="284"/>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6458E7">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4"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4"/>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5"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5"/>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6" w:name="bookmark39"/>
      <w:r w:rsidRPr="00986F34">
        <w:rPr>
          <w:sz w:val="24"/>
          <w:szCs w:val="24"/>
        </w:rPr>
        <w:t>выполнения</w:t>
      </w:r>
      <w:bookmarkEnd w:id="26"/>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7" w:name="bookmark40"/>
      <w:r w:rsidRPr="00986F34">
        <w:rPr>
          <w:sz w:val="24"/>
          <w:szCs w:val="24"/>
        </w:rPr>
        <w:t>Ответственные лица за реализацию программы</w:t>
      </w:r>
      <w:bookmarkEnd w:id="27"/>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8" w:name="bookmark41"/>
      <w:r>
        <w:rPr>
          <w:sz w:val="24"/>
          <w:szCs w:val="24"/>
        </w:rPr>
        <w:lastRenderedPageBreak/>
        <w:t xml:space="preserve">6.2. </w:t>
      </w:r>
      <w:r w:rsidR="007950C1" w:rsidRPr="00986F34">
        <w:rPr>
          <w:sz w:val="24"/>
          <w:szCs w:val="24"/>
        </w:rPr>
        <w:t>Мониторинг и корректировка программы</w:t>
      </w:r>
      <w:bookmarkEnd w:id="28"/>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29"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29"/>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4B564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D81BCD" w:rsidRDefault="00D81BCD"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4B564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D81BCD" w:rsidRDefault="00D81BCD"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D81BCD"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Наименование</w:t>
                        </w:r>
                      </w:p>
                      <w:p w:rsidR="00D81BCD" w:rsidRPr="00DD2553" w:rsidRDefault="00D81BCD"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Ед.</w:t>
                        </w:r>
                      </w:p>
                      <w:p w:rsidR="00D81BCD" w:rsidRPr="00DD2553" w:rsidRDefault="00D81BCD"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D81BCD" w:rsidRPr="00DD2553" w:rsidRDefault="00D81BCD"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Критерий</w:t>
                        </w:r>
                      </w:p>
                      <w:p w:rsidR="00D81BCD" w:rsidRPr="00DD2553" w:rsidRDefault="00D81BCD" w:rsidP="00DD2553">
                        <w:pPr>
                          <w:spacing w:after="0" w:line="190" w:lineRule="exact"/>
                          <w:ind w:left="220"/>
                          <w:jc w:val="center"/>
                        </w:pPr>
                        <w:r w:rsidRPr="00DD2553">
                          <w:rPr>
                            <w:rStyle w:val="295pt"/>
                            <w:rFonts w:eastAsiaTheme="minorEastAsia"/>
                            <w:sz w:val="22"/>
                            <w:szCs w:val="22"/>
                          </w:rPr>
                          <w:t>эффективности</w:t>
                        </w:r>
                      </w:p>
                    </w:tc>
                  </w:tr>
                  <w:tr w:rsidR="00D81BCD"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ind w:left="220"/>
                          <w:jc w:val="center"/>
                        </w:pPr>
                        <w:r w:rsidRPr="00DD2553">
                          <w:rPr>
                            <w:rStyle w:val="295pt"/>
                            <w:rFonts w:eastAsiaTheme="minorEastAsia"/>
                            <w:sz w:val="22"/>
                            <w:szCs w:val="22"/>
                          </w:rPr>
                          <w:t>Не более 22%*</w:t>
                        </w:r>
                      </w:p>
                    </w:tc>
                  </w:tr>
                  <w:tr w:rsidR="00D81BCD"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226" w:lineRule="exact"/>
                        </w:pPr>
                        <w:r w:rsidRPr="00DD2553">
                          <w:rPr>
                            <w:rStyle w:val="295pt"/>
                            <w:rFonts w:eastAsiaTheme="minorEastAsia"/>
                            <w:sz w:val="22"/>
                            <w:szCs w:val="22"/>
                          </w:rPr>
                          <w:t>Доля семей, получающих субсидии на оплату</w:t>
                        </w:r>
                      </w:p>
                      <w:p w:rsidR="00D81BCD" w:rsidRPr="00DD2553" w:rsidRDefault="00D81BCD"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Формы</w:t>
                        </w:r>
                      </w:p>
                      <w:p w:rsidR="00D81BCD" w:rsidRPr="00DD2553" w:rsidRDefault="00D81BCD"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ind w:left="220"/>
                          <w:jc w:val="center"/>
                        </w:pPr>
                        <w:r w:rsidRPr="00DD2553">
                          <w:rPr>
                            <w:rStyle w:val="295pt"/>
                            <w:rFonts w:eastAsiaTheme="minorEastAsia"/>
                            <w:sz w:val="22"/>
                            <w:szCs w:val="22"/>
                          </w:rPr>
                          <w:t>Не более 10%**</w:t>
                        </w:r>
                      </w:p>
                    </w:tc>
                  </w:tr>
                  <w:tr w:rsidR="00D81BCD"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Формы</w:t>
                        </w:r>
                      </w:p>
                      <w:p w:rsidR="00D81BCD" w:rsidRPr="00DD2553" w:rsidRDefault="00D81BCD" w:rsidP="00DD2553">
                        <w:pPr>
                          <w:spacing w:after="0" w:line="230" w:lineRule="exact"/>
                        </w:pPr>
                        <w:r w:rsidRPr="00DD2553">
                          <w:rPr>
                            <w:rStyle w:val="295pt"/>
                            <w:rFonts w:eastAsiaTheme="minorEastAsia"/>
                            <w:sz w:val="22"/>
                            <w:szCs w:val="22"/>
                          </w:rPr>
                          <w:t>государственной</w:t>
                        </w:r>
                      </w:p>
                      <w:p w:rsidR="00D81BCD" w:rsidRPr="00DD2553" w:rsidRDefault="00D81BCD" w:rsidP="00DD2553">
                        <w:pPr>
                          <w:spacing w:after="0" w:line="230" w:lineRule="exact"/>
                        </w:pPr>
                        <w:r w:rsidRPr="00DD2553">
                          <w:rPr>
                            <w:rStyle w:val="295pt"/>
                            <w:rFonts w:eastAsiaTheme="minorEastAsia"/>
                            <w:sz w:val="22"/>
                            <w:szCs w:val="22"/>
                          </w:rPr>
                          <w:t>статистической</w:t>
                        </w:r>
                      </w:p>
                      <w:p w:rsidR="00D81BCD" w:rsidRPr="00DD2553" w:rsidRDefault="00D81BCD"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Более 95%**</w:t>
                        </w:r>
                      </w:p>
                    </w:tc>
                  </w:tr>
                  <w:tr w:rsidR="00D81BCD"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Формы</w:t>
                        </w:r>
                      </w:p>
                      <w:p w:rsidR="00D81BCD" w:rsidRPr="00DD2553" w:rsidRDefault="00D81BCD" w:rsidP="00DD2553">
                        <w:pPr>
                          <w:spacing w:after="0" w:line="230" w:lineRule="exact"/>
                        </w:pPr>
                        <w:r w:rsidRPr="00DD2553">
                          <w:rPr>
                            <w:rStyle w:val="295pt"/>
                            <w:rFonts w:eastAsiaTheme="minorEastAsia"/>
                            <w:sz w:val="22"/>
                            <w:szCs w:val="22"/>
                          </w:rPr>
                          <w:t>государственной</w:t>
                        </w:r>
                      </w:p>
                      <w:p w:rsidR="00D81BCD" w:rsidRPr="00DD2553" w:rsidRDefault="00D81BCD" w:rsidP="00DD2553">
                        <w:pPr>
                          <w:spacing w:after="0" w:line="230" w:lineRule="exact"/>
                        </w:pPr>
                        <w:r w:rsidRPr="00DD2553">
                          <w:rPr>
                            <w:rStyle w:val="295pt"/>
                            <w:rFonts w:eastAsiaTheme="minorEastAsia"/>
                            <w:sz w:val="22"/>
                            <w:szCs w:val="22"/>
                          </w:rPr>
                          <w:t>статистической</w:t>
                        </w:r>
                      </w:p>
                      <w:p w:rsidR="00D81BCD" w:rsidRPr="00DD2553" w:rsidRDefault="00D81BCD"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D81BCD"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Формы</w:t>
                        </w:r>
                      </w:p>
                      <w:p w:rsidR="00D81BCD" w:rsidRPr="00DD2553" w:rsidRDefault="00D81BCD" w:rsidP="00DD2553">
                        <w:pPr>
                          <w:spacing w:after="0" w:line="230" w:lineRule="exact"/>
                        </w:pPr>
                        <w:r w:rsidRPr="00DD2553">
                          <w:rPr>
                            <w:rStyle w:val="295pt"/>
                            <w:rFonts w:eastAsiaTheme="minorEastAsia"/>
                            <w:sz w:val="22"/>
                            <w:szCs w:val="22"/>
                          </w:rPr>
                          <w:t>государственной</w:t>
                        </w:r>
                      </w:p>
                      <w:p w:rsidR="00D81BCD" w:rsidRPr="00DD2553" w:rsidRDefault="00D81BCD" w:rsidP="00DD2553">
                        <w:pPr>
                          <w:spacing w:after="0" w:line="230" w:lineRule="exact"/>
                        </w:pPr>
                        <w:r w:rsidRPr="00DD2553">
                          <w:rPr>
                            <w:rStyle w:val="295pt"/>
                            <w:rFonts w:eastAsiaTheme="minorEastAsia"/>
                            <w:sz w:val="22"/>
                            <w:szCs w:val="22"/>
                          </w:rPr>
                          <w:t>статистической</w:t>
                        </w:r>
                      </w:p>
                      <w:p w:rsidR="00D81BCD" w:rsidRPr="00DD2553" w:rsidRDefault="00D81BCD"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1</w:t>
                        </w:r>
                      </w:p>
                    </w:tc>
                  </w:tr>
                  <w:tr w:rsidR="00D81BCD"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1</w:t>
                        </w:r>
                      </w:p>
                    </w:tc>
                  </w:tr>
                </w:tbl>
                <w:p w:rsidR="00D81BCD" w:rsidRDefault="00D81BCD"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4B564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D81BCD" w:rsidRDefault="00D81BCD"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D81BCD"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D81BCD" w:rsidRDefault="00D81BCD"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81BCD" w:rsidRPr="00DD2553" w:rsidRDefault="00D81BCD"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Наименование</w:t>
                        </w:r>
                      </w:p>
                      <w:p w:rsidR="00D81BCD" w:rsidRPr="00DD2553" w:rsidRDefault="00D81BCD"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ind w:left="260"/>
                          <w:jc w:val="center"/>
                        </w:pPr>
                        <w:r w:rsidRPr="00DD2553">
                          <w:rPr>
                            <w:rStyle w:val="295pt"/>
                            <w:rFonts w:eastAsiaTheme="minorEastAsia"/>
                            <w:sz w:val="22"/>
                            <w:szCs w:val="22"/>
                          </w:rPr>
                          <w:t>Ед.</w:t>
                        </w:r>
                      </w:p>
                      <w:p w:rsidR="00D81BCD" w:rsidRPr="00DD2553" w:rsidRDefault="00D81BCD"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Источник</w:t>
                        </w:r>
                      </w:p>
                      <w:p w:rsidR="00D81BCD" w:rsidRPr="00DD2553" w:rsidRDefault="00D81BCD"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Критерий</w:t>
                        </w:r>
                      </w:p>
                      <w:p w:rsidR="00D81BCD" w:rsidRPr="00DD2553" w:rsidRDefault="00D81BCD" w:rsidP="00DD2553">
                        <w:pPr>
                          <w:spacing w:after="0" w:line="190" w:lineRule="exact"/>
                          <w:ind w:left="220"/>
                          <w:jc w:val="center"/>
                        </w:pPr>
                        <w:r w:rsidRPr="00DD2553">
                          <w:rPr>
                            <w:rStyle w:val="295pt"/>
                            <w:rFonts w:eastAsiaTheme="minorEastAsia"/>
                            <w:sz w:val="22"/>
                            <w:szCs w:val="22"/>
                          </w:rPr>
                          <w:t>эффективности</w:t>
                        </w:r>
                      </w:p>
                    </w:tc>
                  </w:tr>
                  <w:tr w:rsidR="00D81BCD"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ind w:left="240"/>
                          <w:jc w:val="center"/>
                        </w:pPr>
                        <w:r w:rsidRPr="00DD2553">
                          <w:rPr>
                            <w:rStyle w:val="295pt"/>
                            <w:rFonts w:eastAsiaTheme="minorEastAsia"/>
                            <w:sz w:val="22"/>
                            <w:szCs w:val="22"/>
                          </w:rPr>
                          <w:t>Организация</w:t>
                        </w:r>
                      </w:p>
                      <w:p w:rsidR="00D81BCD" w:rsidRPr="00DD2553" w:rsidRDefault="00D81BCD" w:rsidP="00DD2553">
                        <w:pPr>
                          <w:spacing w:after="0" w:line="230" w:lineRule="exact"/>
                          <w:jc w:val="center"/>
                        </w:pPr>
                        <w:r w:rsidRPr="00DD2553">
                          <w:rPr>
                            <w:rStyle w:val="295pt"/>
                            <w:rFonts w:eastAsiaTheme="minorEastAsia"/>
                            <w:sz w:val="22"/>
                            <w:szCs w:val="22"/>
                          </w:rPr>
                          <w:t>коммунального</w:t>
                        </w:r>
                      </w:p>
                      <w:p w:rsidR="00D81BCD" w:rsidRPr="00DD2553" w:rsidRDefault="00D81BCD"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230" w:lineRule="exact"/>
                          <w:jc w:val="center"/>
                        </w:pPr>
                        <w:r w:rsidRPr="00DD2553">
                          <w:rPr>
                            <w:rStyle w:val="295pt"/>
                            <w:rFonts w:eastAsiaTheme="minorEastAsia"/>
                            <w:sz w:val="22"/>
                            <w:szCs w:val="22"/>
                          </w:rPr>
                          <w:t>Частота аварий всех</w:t>
                        </w:r>
                      </w:p>
                      <w:p w:rsidR="00D81BCD" w:rsidRPr="00DD2553" w:rsidRDefault="00D81BCD" w:rsidP="00DD2553">
                        <w:pPr>
                          <w:spacing w:after="0" w:line="230" w:lineRule="exact"/>
                          <w:jc w:val="center"/>
                        </w:pPr>
                        <w:r w:rsidRPr="00DD2553">
                          <w:rPr>
                            <w:rStyle w:val="295pt"/>
                            <w:rFonts w:eastAsiaTheme="minorEastAsia"/>
                            <w:sz w:val="22"/>
                            <w:szCs w:val="22"/>
                          </w:rPr>
                          <w:t>коммунальных</w:t>
                        </w:r>
                      </w:p>
                      <w:p w:rsidR="00D81BCD" w:rsidRPr="00DD2553" w:rsidRDefault="00D81BCD" w:rsidP="00DD2553">
                        <w:pPr>
                          <w:spacing w:after="0" w:line="230" w:lineRule="exact"/>
                          <w:jc w:val="center"/>
                        </w:pPr>
                        <w:r w:rsidRPr="00DD2553">
                          <w:rPr>
                            <w:rStyle w:val="295pt"/>
                            <w:rFonts w:eastAsiaTheme="minorEastAsia"/>
                            <w:sz w:val="22"/>
                            <w:szCs w:val="22"/>
                          </w:rPr>
                          <w:t>систем,</w:t>
                        </w:r>
                      </w:p>
                      <w:p w:rsidR="00D81BCD" w:rsidRPr="00DD2553" w:rsidRDefault="00D81BCD"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D81BCD"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D81BCD" w:rsidRPr="00DD2553" w:rsidRDefault="00D81BCD"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ind w:left="240"/>
                          <w:jc w:val="center"/>
                        </w:pPr>
                        <w:r w:rsidRPr="00DD2553">
                          <w:rPr>
                            <w:rStyle w:val="295pt"/>
                            <w:rFonts w:eastAsiaTheme="minorEastAsia"/>
                            <w:sz w:val="22"/>
                            <w:szCs w:val="22"/>
                          </w:rPr>
                          <w:t>Организация</w:t>
                        </w:r>
                      </w:p>
                      <w:p w:rsidR="00D81BCD" w:rsidRPr="00DD2553" w:rsidRDefault="00D81BCD" w:rsidP="00DD2553">
                        <w:pPr>
                          <w:spacing w:after="0" w:line="230" w:lineRule="exact"/>
                          <w:jc w:val="center"/>
                        </w:pPr>
                        <w:r w:rsidRPr="00DD2553">
                          <w:rPr>
                            <w:rStyle w:val="295pt"/>
                            <w:rFonts w:eastAsiaTheme="minorEastAsia"/>
                            <w:sz w:val="22"/>
                            <w:szCs w:val="22"/>
                          </w:rPr>
                          <w:t>коммунального</w:t>
                        </w:r>
                      </w:p>
                      <w:p w:rsidR="00D81BCD" w:rsidRPr="00DD2553" w:rsidRDefault="00D81BCD"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1</w:t>
                        </w:r>
                      </w:p>
                    </w:tc>
                  </w:tr>
                  <w:tr w:rsidR="00D81BCD"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ind w:left="240"/>
                          <w:jc w:val="center"/>
                        </w:pPr>
                        <w:r w:rsidRPr="00DD2553">
                          <w:rPr>
                            <w:rStyle w:val="295pt"/>
                            <w:rFonts w:eastAsiaTheme="minorEastAsia"/>
                            <w:sz w:val="22"/>
                            <w:szCs w:val="22"/>
                          </w:rPr>
                          <w:t>Организация</w:t>
                        </w:r>
                      </w:p>
                      <w:p w:rsidR="00D81BCD" w:rsidRPr="00DD2553" w:rsidRDefault="00D81BCD" w:rsidP="00DD2553">
                        <w:pPr>
                          <w:spacing w:after="0" w:line="230" w:lineRule="exact"/>
                          <w:jc w:val="center"/>
                        </w:pPr>
                        <w:r w:rsidRPr="00DD2553">
                          <w:rPr>
                            <w:rStyle w:val="295pt"/>
                            <w:rFonts w:eastAsiaTheme="minorEastAsia"/>
                            <w:sz w:val="22"/>
                            <w:szCs w:val="22"/>
                          </w:rPr>
                          <w:t>коммунального</w:t>
                        </w:r>
                      </w:p>
                      <w:p w:rsidR="00D81BCD" w:rsidRPr="00DD2553" w:rsidRDefault="00D81BCD"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D81BCD"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D81BCD" w:rsidRPr="00DD2553" w:rsidRDefault="00D81BCD" w:rsidP="00DD2553">
                        <w:pPr>
                          <w:spacing w:after="0" w:line="230" w:lineRule="exact"/>
                          <w:ind w:left="240"/>
                          <w:jc w:val="center"/>
                        </w:pPr>
                        <w:r w:rsidRPr="00DD2553">
                          <w:rPr>
                            <w:rStyle w:val="295pt"/>
                            <w:rFonts w:eastAsiaTheme="minorEastAsia"/>
                            <w:sz w:val="22"/>
                            <w:szCs w:val="22"/>
                          </w:rPr>
                          <w:t>Организация</w:t>
                        </w:r>
                      </w:p>
                      <w:p w:rsidR="00D81BCD" w:rsidRPr="00DD2553" w:rsidRDefault="00D81BCD" w:rsidP="00DD2553">
                        <w:pPr>
                          <w:spacing w:after="0" w:line="230" w:lineRule="exact"/>
                          <w:jc w:val="center"/>
                        </w:pPr>
                        <w:r w:rsidRPr="00DD2553">
                          <w:rPr>
                            <w:rStyle w:val="295pt"/>
                            <w:rFonts w:eastAsiaTheme="minorEastAsia"/>
                            <w:sz w:val="22"/>
                            <w:szCs w:val="22"/>
                          </w:rPr>
                          <w:t>коммунального</w:t>
                        </w:r>
                      </w:p>
                      <w:p w:rsidR="00D81BCD" w:rsidRPr="00DD2553" w:rsidRDefault="00D81BCD"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D81BCD" w:rsidRPr="00DD2553" w:rsidRDefault="00D81BCD"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D81BCD"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D81BCD" w:rsidRPr="00DD2553" w:rsidRDefault="00D81BCD" w:rsidP="00DD2553">
                        <w:pPr>
                          <w:spacing w:after="0" w:line="230" w:lineRule="exact"/>
                          <w:ind w:left="240"/>
                          <w:jc w:val="center"/>
                        </w:pPr>
                        <w:r w:rsidRPr="00DD2553">
                          <w:rPr>
                            <w:rStyle w:val="295pt"/>
                            <w:rFonts w:eastAsiaTheme="minorEastAsia"/>
                            <w:sz w:val="22"/>
                            <w:szCs w:val="22"/>
                          </w:rPr>
                          <w:t>Организация</w:t>
                        </w:r>
                      </w:p>
                      <w:p w:rsidR="00D81BCD" w:rsidRPr="00DD2553" w:rsidRDefault="00D81BCD" w:rsidP="00DD2553">
                        <w:pPr>
                          <w:spacing w:after="0" w:line="230" w:lineRule="exact"/>
                          <w:jc w:val="center"/>
                        </w:pPr>
                        <w:r w:rsidRPr="00DD2553">
                          <w:rPr>
                            <w:rStyle w:val="295pt"/>
                            <w:rFonts w:eastAsiaTheme="minorEastAsia"/>
                            <w:sz w:val="22"/>
                            <w:szCs w:val="22"/>
                          </w:rPr>
                          <w:t>коммунального</w:t>
                        </w:r>
                      </w:p>
                      <w:p w:rsidR="00D81BCD" w:rsidRPr="00DD2553" w:rsidRDefault="00D81BCD"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D81BCD" w:rsidRPr="00DD2553" w:rsidRDefault="00D81BCD" w:rsidP="00DD2553">
                        <w:pPr>
                          <w:spacing w:after="0" w:line="230" w:lineRule="exact"/>
                          <w:jc w:val="center"/>
                        </w:pPr>
                        <w:r w:rsidRPr="00DD2553">
                          <w:rPr>
                            <w:rStyle w:val="295pt"/>
                            <w:rFonts w:eastAsiaTheme="minorEastAsia"/>
                            <w:sz w:val="22"/>
                            <w:szCs w:val="22"/>
                          </w:rPr>
                          <w:t>Не ниже 0,98 по отношению к самому</w:t>
                        </w:r>
                      </w:p>
                      <w:p w:rsidR="00D81BCD" w:rsidRPr="00DD2553" w:rsidRDefault="00D81BCD"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D81BCD" w:rsidRDefault="00D81BCD"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0"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0"/>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Pr="00986F34" w:rsidRDefault="00713A14"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p>
    <w:p w:rsidR="007950C1" w:rsidRPr="00986F34" w:rsidRDefault="007950C1" w:rsidP="00747172">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079" w:rsidRDefault="00944079" w:rsidP="00E40AEF">
      <w:pPr>
        <w:spacing w:after="0" w:line="240" w:lineRule="auto"/>
      </w:pPr>
      <w:r>
        <w:separator/>
      </w:r>
    </w:p>
  </w:endnote>
  <w:endnote w:type="continuationSeparator" w:id="1">
    <w:p w:rsidR="00944079" w:rsidRDefault="00944079"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079" w:rsidRDefault="00944079" w:rsidP="00E40AEF">
      <w:pPr>
        <w:spacing w:after="0" w:line="240" w:lineRule="auto"/>
      </w:pPr>
      <w:r>
        <w:separator/>
      </w:r>
    </w:p>
  </w:footnote>
  <w:footnote w:type="continuationSeparator" w:id="1">
    <w:p w:rsidR="00944079" w:rsidRDefault="00944079"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CD" w:rsidRDefault="00D81B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CD" w:rsidRDefault="00D81B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CD" w:rsidRDefault="00D81B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0114"/>
  </w:hdrShapeDefaults>
  <w:footnotePr>
    <w:footnote w:id="0"/>
    <w:footnote w:id="1"/>
  </w:footnotePr>
  <w:endnotePr>
    <w:endnote w:id="0"/>
    <w:endnote w:id="1"/>
  </w:endnotePr>
  <w:compat>
    <w:useFELayout/>
  </w:compat>
  <w:rsids>
    <w:rsidRoot w:val="00B80DB6"/>
    <w:rsid w:val="000221C3"/>
    <w:rsid w:val="00023414"/>
    <w:rsid w:val="00035B57"/>
    <w:rsid w:val="00045EE1"/>
    <w:rsid w:val="00047EA6"/>
    <w:rsid w:val="0006056B"/>
    <w:rsid w:val="000617C0"/>
    <w:rsid w:val="00061C93"/>
    <w:rsid w:val="00071393"/>
    <w:rsid w:val="00074375"/>
    <w:rsid w:val="00075650"/>
    <w:rsid w:val="00082BBC"/>
    <w:rsid w:val="000841FB"/>
    <w:rsid w:val="00094F04"/>
    <w:rsid w:val="000A2C40"/>
    <w:rsid w:val="000B7AE0"/>
    <w:rsid w:val="000D31B1"/>
    <w:rsid w:val="000D3308"/>
    <w:rsid w:val="000D6B6C"/>
    <w:rsid w:val="000F75CD"/>
    <w:rsid w:val="001000B7"/>
    <w:rsid w:val="001060CE"/>
    <w:rsid w:val="00116564"/>
    <w:rsid w:val="001226C2"/>
    <w:rsid w:val="0013254C"/>
    <w:rsid w:val="00135027"/>
    <w:rsid w:val="001470C1"/>
    <w:rsid w:val="0014790A"/>
    <w:rsid w:val="00160072"/>
    <w:rsid w:val="00160AB6"/>
    <w:rsid w:val="0017489D"/>
    <w:rsid w:val="00175214"/>
    <w:rsid w:val="001A5CE2"/>
    <w:rsid w:val="001B64A4"/>
    <w:rsid w:val="001C1946"/>
    <w:rsid w:val="001C220C"/>
    <w:rsid w:val="001D418F"/>
    <w:rsid w:val="002016B5"/>
    <w:rsid w:val="002057BD"/>
    <w:rsid w:val="00214026"/>
    <w:rsid w:val="00244D25"/>
    <w:rsid w:val="00246C97"/>
    <w:rsid w:val="00246CD4"/>
    <w:rsid w:val="00247ADE"/>
    <w:rsid w:val="00251D74"/>
    <w:rsid w:val="00254F82"/>
    <w:rsid w:val="00257582"/>
    <w:rsid w:val="002721B0"/>
    <w:rsid w:val="00280EA6"/>
    <w:rsid w:val="00287E53"/>
    <w:rsid w:val="0029725C"/>
    <w:rsid w:val="00297914"/>
    <w:rsid w:val="002A2C42"/>
    <w:rsid w:val="002A2EB3"/>
    <w:rsid w:val="002D2451"/>
    <w:rsid w:val="002D76BB"/>
    <w:rsid w:val="002E45BF"/>
    <w:rsid w:val="002F199D"/>
    <w:rsid w:val="002F22A1"/>
    <w:rsid w:val="002F2CFE"/>
    <w:rsid w:val="002F3FBF"/>
    <w:rsid w:val="00305BC6"/>
    <w:rsid w:val="00323920"/>
    <w:rsid w:val="00336712"/>
    <w:rsid w:val="00356C75"/>
    <w:rsid w:val="0037442F"/>
    <w:rsid w:val="00375A74"/>
    <w:rsid w:val="00385961"/>
    <w:rsid w:val="003A10A1"/>
    <w:rsid w:val="003A1746"/>
    <w:rsid w:val="003A6777"/>
    <w:rsid w:val="003D4F14"/>
    <w:rsid w:val="003F058E"/>
    <w:rsid w:val="003F563E"/>
    <w:rsid w:val="003F6A3E"/>
    <w:rsid w:val="00403C31"/>
    <w:rsid w:val="0040579B"/>
    <w:rsid w:val="00421144"/>
    <w:rsid w:val="00423C1E"/>
    <w:rsid w:val="00426C65"/>
    <w:rsid w:val="00433AFE"/>
    <w:rsid w:val="00435BCE"/>
    <w:rsid w:val="00450963"/>
    <w:rsid w:val="004525DD"/>
    <w:rsid w:val="00456DD6"/>
    <w:rsid w:val="004626F5"/>
    <w:rsid w:val="00471253"/>
    <w:rsid w:val="00473578"/>
    <w:rsid w:val="004810BE"/>
    <w:rsid w:val="00484541"/>
    <w:rsid w:val="00484D86"/>
    <w:rsid w:val="004B0651"/>
    <w:rsid w:val="004B386E"/>
    <w:rsid w:val="004B564D"/>
    <w:rsid w:val="004D1EC3"/>
    <w:rsid w:val="004D1EC7"/>
    <w:rsid w:val="004E7B46"/>
    <w:rsid w:val="004F01FE"/>
    <w:rsid w:val="004F3556"/>
    <w:rsid w:val="004F7EE1"/>
    <w:rsid w:val="005207D3"/>
    <w:rsid w:val="00531AF9"/>
    <w:rsid w:val="00534A5A"/>
    <w:rsid w:val="00543395"/>
    <w:rsid w:val="005657AC"/>
    <w:rsid w:val="00565CB7"/>
    <w:rsid w:val="005773B7"/>
    <w:rsid w:val="005815FB"/>
    <w:rsid w:val="00584996"/>
    <w:rsid w:val="005A2344"/>
    <w:rsid w:val="005A3101"/>
    <w:rsid w:val="005A741D"/>
    <w:rsid w:val="005C3734"/>
    <w:rsid w:val="005D3080"/>
    <w:rsid w:val="005E3F04"/>
    <w:rsid w:val="005F14A2"/>
    <w:rsid w:val="00603593"/>
    <w:rsid w:val="0061076C"/>
    <w:rsid w:val="00612756"/>
    <w:rsid w:val="00613B70"/>
    <w:rsid w:val="006208CD"/>
    <w:rsid w:val="006458E7"/>
    <w:rsid w:val="00672886"/>
    <w:rsid w:val="0067500D"/>
    <w:rsid w:val="00675D85"/>
    <w:rsid w:val="00684DF4"/>
    <w:rsid w:val="00686126"/>
    <w:rsid w:val="00686368"/>
    <w:rsid w:val="006A20F4"/>
    <w:rsid w:val="006A4C0C"/>
    <w:rsid w:val="006C34C2"/>
    <w:rsid w:val="006C46D7"/>
    <w:rsid w:val="006D02F8"/>
    <w:rsid w:val="006D5A53"/>
    <w:rsid w:val="006F41E1"/>
    <w:rsid w:val="00713A14"/>
    <w:rsid w:val="00722660"/>
    <w:rsid w:val="00722F53"/>
    <w:rsid w:val="00723859"/>
    <w:rsid w:val="00730A7E"/>
    <w:rsid w:val="007310E2"/>
    <w:rsid w:val="0073720F"/>
    <w:rsid w:val="007440BA"/>
    <w:rsid w:val="00747172"/>
    <w:rsid w:val="00750A00"/>
    <w:rsid w:val="00757FAE"/>
    <w:rsid w:val="0077758B"/>
    <w:rsid w:val="007779E3"/>
    <w:rsid w:val="0078786E"/>
    <w:rsid w:val="0079446E"/>
    <w:rsid w:val="007950C1"/>
    <w:rsid w:val="007B6480"/>
    <w:rsid w:val="007B7159"/>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6E9"/>
    <w:rsid w:val="008A7642"/>
    <w:rsid w:val="008B1373"/>
    <w:rsid w:val="008C3421"/>
    <w:rsid w:val="008C688F"/>
    <w:rsid w:val="008D46D1"/>
    <w:rsid w:val="008E6ECD"/>
    <w:rsid w:val="008F66AC"/>
    <w:rsid w:val="00900496"/>
    <w:rsid w:val="009049E0"/>
    <w:rsid w:val="00906524"/>
    <w:rsid w:val="00916A51"/>
    <w:rsid w:val="00936D59"/>
    <w:rsid w:val="00940508"/>
    <w:rsid w:val="00944079"/>
    <w:rsid w:val="00972ECB"/>
    <w:rsid w:val="00986F34"/>
    <w:rsid w:val="009A70F6"/>
    <w:rsid w:val="009C10A0"/>
    <w:rsid w:val="009C60DB"/>
    <w:rsid w:val="009C6B7D"/>
    <w:rsid w:val="009D75A9"/>
    <w:rsid w:val="009E3AEA"/>
    <w:rsid w:val="009E54C8"/>
    <w:rsid w:val="009F24B4"/>
    <w:rsid w:val="009F4F8E"/>
    <w:rsid w:val="009F690C"/>
    <w:rsid w:val="009F75CE"/>
    <w:rsid w:val="00A07957"/>
    <w:rsid w:val="00A31A70"/>
    <w:rsid w:val="00A35935"/>
    <w:rsid w:val="00A42FE2"/>
    <w:rsid w:val="00A43446"/>
    <w:rsid w:val="00A774D3"/>
    <w:rsid w:val="00A82671"/>
    <w:rsid w:val="00A92CA5"/>
    <w:rsid w:val="00AA26CD"/>
    <w:rsid w:val="00AA2E78"/>
    <w:rsid w:val="00AB328E"/>
    <w:rsid w:val="00AC1B40"/>
    <w:rsid w:val="00AD531A"/>
    <w:rsid w:val="00AD7882"/>
    <w:rsid w:val="00AF6268"/>
    <w:rsid w:val="00AF7978"/>
    <w:rsid w:val="00B06946"/>
    <w:rsid w:val="00B13205"/>
    <w:rsid w:val="00B137E9"/>
    <w:rsid w:val="00B14EFB"/>
    <w:rsid w:val="00B2029F"/>
    <w:rsid w:val="00B21469"/>
    <w:rsid w:val="00B372FD"/>
    <w:rsid w:val="00B6265F"/>
    <w:rsid w:val="00B651FD"/>
    <w:rsid w:val="00B654C9"/>
    <w:rsid w:val="00B75448"/>
    <w:rsid w:val="00B77788"/>
    <w:rsid w:val="00B77999"/>
    <w:rsid w:val="00B80DB6"/>
    <w:rsid w:val="00B854AE"/>
    <w:rsid w:val="00B90B3A"/>
    <w:rsid w:val="00B93752"/>
    <w:rsid w:val="00B97D9E"/>
    <w:rsid w:val="00BD0193"/>
    <w:rsid w:val="00BE4409"/>
    <w:rsid w:val="00BE56C2"/>
    <w:rsid w:val="00C21B2E"/>
    <w:rsid w:val="00C3691C"/>
    <w:rsid w:val="00C53051"/>
    <w:rsid w:val="00C6388B"/>
    <w:rsid w:val="00C6735E"/>
    <w:rsid w:val="00C734AC"/>
    <w:rsid w:val="00C737D5"/>
    <w:rsid w:val="00CA0454"/>
    <w:rsid w:val="00CB27F6"/>
    <w:rsid w:val="00CC3230"/>
    <w:rsid w:val="00CC3E4F"/>
    <w:rsid w:val="00CC4D7C"/>
    <w:rsid w:val="00CD3915"/>
    <w:rsid w:val="00CD3A83"/>
    <w:rsid w:val="00CD4FC8"/>
    <w:rsid w:val="00CE0DF5"/>
    <w:rsid w:val="00CE2ACF"/>
    <w:rsid w:val="00D011F6"/>
    <w:rsid w:val="00D10F7A"/>
    <w:rsid w:val="00D20308"/>
    <w:rsid w:val="00D23A7D"/>
    <w:rsid w:val="00D30460"/>
    <w:rsid w:val="00D324E5"/>
    <w:rsid w:val="00D32FC1"/>
    <w:rsid w:val="00D344E3"/>
    <w:rsid w:val="00D5251E"/>
    <w:rsid w:val="00D539C7"/>
    <w:rsid w:val="00D648B4"/>
    <w:rsid w:val="00D66882"/>
    <w:rsid w:val="00D81BCD"/>
    <w:rsid w:val="00D87161"/>
    <w:rsid w:val="00D8740E"/>
    <w:rsid w:val="00D9226E"/>
    <w:rsid w:val="00DA33EF"/>
    <w:rsid w:val="00DB292A"/>
    <w:rsid w:val="00DD2553"/>
    <w:rsid w:val="00DD6F83"/>
    <w:rsid w:val="00DD7AB6"/>
    <w:rsid w:val="00DE3E9F"/>
    <w:rsid w:val="00DF7821"/>
    <w:rsid w:val="00E002F2"/>
    <w:rsid w:val="00E11625"/>
    <w:rsid w:val="00E12295"/>
    <w:rsid w:val="00E230B5"/>
    <w:rsid w:val="00E24CD3"/>
    <w:rsid w:val="00E40AEF"/>
    <w:rsid w:val="00E54FFA"/>
    <w:rsid w:val="00E7106F"/>
    <w:rsid w:val="00E714BC"/>
    <w:rsid w:val="00E71EAF"/>
    <w:rsid w:val="00E73D06"/>
    <w:rsid w:val="00E75B92"/>
    <w:rsid w:val="00E92B35"/>
    <w:rsid w:val="00E95D4E"/>
    <w:rsid w:val="00EA78A7"/>
    <w:rsid w:val="00EB1896"/>
    <w:rsid w:val="00EC1FEC"/>
    <w:rsid w:val="00ED1B47"/>
    <w:rsid w:val="00EF7226"/>
    <w:rsid w:val="00F04EF2"/>
    <w:rsid w:val="00F11F00"/>
    <w:rsid w:val="00F431A7"/>
    <w:rsid w:val="00F74AB6"/>
    <w:rsid w:val="00F76B10"/>
    <w:rsid w:val="00F95359"/>
    <w:rsid w:val="00FA04F0"/>
    <w:rsid w:val="00FA160F"/>
    <w:rsid w:val="00FA4D31"/>
    <w:rsid w:val="00FA5C90"/>
    <w:rsid w:val="00FB07C3"/>
    <w:rsid w:val="00FB1A26"/>
    <w:rsid w:val="00FC75E8"/>
    <w:rsid w:val="00FD19E6"/>
    <w:rsid w:val="00FE2099"/>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E7"/>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9652A-4C35-4322-9873-DF557D10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41</Pages>
  <Words>11077</Words>
  <Characters>63145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2019-05-29T13:05:00Z</cp:lastPrinted>
  <dcterms:created xsi:type="dcterms:W3CDTF">2017-01-11T09:44:00Z</dcterms:created>
  <dcterms:modified xsi:type="dcterms:W3CDTF">2019-06-25T07:24:00Z</dcterms:modified>
</cp:coreProperties>
</file>